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2A" w:rsidRPr="00E47F9A" w:rsidRDefault="00D96E2A" w:rsidP="00D96E2A">
      <w:pPr>
        <w:pStyle w:val="EQ"/>
        <w:keepLines w:val="0"/>
        <w:tabs>
          <w:tab w:val="clear" w:pos="4536"/>
          <w:tab w:val="clear" w:pos="9072"/>
        </w:tabs>
        <w:rPr>
          <w:noProof w:val="0"/>
        </w:rPr>
      </w:pPr>
      <w:bookmarkStart w:id="0" w:name="_GoBack"/>
      <w:bookmarkEnd w:id="0"/>
    </w:p>
    <w:p w:rsidR="00D96E2A" w:rsidRPr="00E47F9A" w:rsidRDefault="00D96E2A" w:rsidP="00D96E2A">
      <w:pPr>
        <w:pStyle w:val="ZTD"/>
        <w:framePr w:wrap="notBeside"/>
        <w:rPr>
          <w:noProof w:val="0"/>
        </w:rPr>
      </w:pPr>
      <w:r w:rsidRPr="00E47F9A">
        <w:rPr>
          <w:noProof w:val="0"/>
          <w:vanish/>
        </w:rPr>
        <w:t>TD &lt;&gt;</w:t>
      </w:r>
    </w:p>
    <w:p w:rsidR="00D96E2A" w:rsidRPr="00E47F9A" w:rsidRDefault="00D96E2A" w:rsidP="00D96E2A">
      <w:pPr>
        <w:pStyle w:val="ZA"/>
        <w:framePr w:wrap="notBeside"/>
        <w:rPr>
          <w:noProof w:val="0"/>
        </w:rPr>
      </w:pPr>
      <w:r w:rsidRPr="00FB5269">
        <w:rPr>
          <w:noProof w:val="0"/>
          <w:sz w:val="64"/>
        </w:rPr>
        <w:t>ETSI TR</w:t>
      </w:r>
      <w:r w:rsidRPr="00E47F9A">
        <w:rPr>
          <w:noProof w:val="0"/>
          <w:sz w:val="64"/>
        </w:rPr>
        <w:t xml:space="preserve"> </w:t>
      </w:r>
      <w:r w:rsidRPr="00FB5269">
        <w:rPr>
          <w:noProof w:val="0"/>
          <w:sz w:val="64"/>
        </w:rPr>
        <w:t>102 070-2</w:t>
      </w:r>
      <w:r w:rsidRPr="00E47F9A">
        <w:rPr>
          <w:noProof w:val="0"/>
          <w:sz w:val="64"/>
        </w:rPr>
        <w:t xml:space="preserve"> </w:t>
      </w:r>
      <w:r w:rsidRPr="00E47F9A">
        <w:rPr>
          <w:noProof w:val="0"/>
        </w:rPr>
        <w:t>V</w:t>
      </w:r>
      <w:r w:rsidRPr="00FB5269">
        <w:rPr>
          <w:noProof w:val="0"/>
        </w:rPr>
        <w:t>1.1.1</w:t>
      </w:r>
      <w:r w:rsidRPr="00E47F9A">
        <w:rPr>
          <w:rStyle w:val="ZGSM"/>
          <w:noProof w:val="0"/>
        </w:rPr>
        <w:t xml:space="preserve"> </w:t>
      </w:r>
      <w:r w:rsidRPr="00E47F9A">
        <w:rPr>
          <w:noProof w:val="0"/>
          <w:sz w:val="32"/>
        </w:rPr>
        <w:t>(</w:t>
      </w:r>
      <w:r w:rsidRPr="00FB5269">
        <w:rPr>
          <w:noProof w:val="0"/>
          <w:sz w:val="32"/>
        </w:rPr>
        <w:t>2002-11</w:t>
      </w:r>
      <w:r w:rsidRPr="00E47F9A">
        <w:rPr>
          <w:noProof w:val="0"/>
          <w:sz w:val="32"/>
        </w:rPr>
        <w:t>)</w:t>
      </w:r>
    </w:p>
    <w:p w:rsidR="00D96E2A" w:rsidRPr="00E47F9A" w:rsidRDefault="00D96E2A" w:rsidP="00D96E2A">
      <w:pPr>
        <w:pStyle w:val="ZB"/>
        <w:framePr w:wrap="notBeside"/>
        <w:rPr>
          <w:noProof w:val="0"/>
        </w:rPr>
      </w:pPr>
      <w:r>
        <w:rPr>
          <w:noProof w:val="0"/>
        </w:rPr>
        <w:t>Technical Report</w:t>
      </w:r>
    </w:p>
    <w:p w:rsidR="00097762" w:rsidRDefault="00097762" w:rsidP="00D96E2A">
      <w:pPr>
        <w:pStyle w:val="ZT"/>
        <w:framePr w:w="10206" w:wrap="notBeside"/>
      </w:pPr>
      <w:r>
        <w:t>Electromagnetic compatibility</w:t>
      </w:r>
    </w:p>
    <w:p w:rsidR="00D96E2A" w:rsidRPr="00D96E2A" w:rsidRDefault="00097762" w:rsidP="00D96E2A">
      <w:pPr>
        <w:pStyle w:val="ZT"/>
        <w:framePr w:w="10206" w:wrap="notBeside"/>
      </w:pPr>
      <w:r>
        <w:t xml:space="preserve">and </w:t>
      </w:r>
      <w:r w:rsidR="00D96E2A" w:rsidRPr="00D96E2A">
        <w:t xml:space="preserve">Radio </w:t>
      </w:r>
      <w:r w:rsidR="00F10424">
        <w:t>s</w:t>
      </w:r>
      <w:r w:rsidR="00D96E2A" w:rsidRPr="00D96E2A">
        <w:t>pectrum Matters (ERM);</w:t>
      </w:r>
    </w:p>
    <w:p w:rsidR="00D96E2A" w:rsidRPr="00D96E2A" w:rsidRDefault="00D96E2A" w:rsidP="00D96E2A">
      <w:pPr>
        <w:pStyle w:val="ZT"/>
        <w:framePr w:w="10206" w:wrap="notBeside"/>
      </w:pPr>
      <w:r w:rsidRPr="00D96E2A">
        <w:t xml:space="preserve">Guide to the application of </w:t>
      </w:r>
      <w:r w:rsidR="00F10424">
        <w:t>h</w:t>
      </w:r>
      <w:r w:rsidRPr="00D96E2A">
        <w:t xml:space="preserve">armonized standards to </w:t>
      </w:r>
    </w:p>
    <w:p w:rsidR="00D96E2A" w:rsidRPr="00D96E2A" w:rsidRDefault="00D96E2A" w:rsidP="00D96E2A">
      <w:pPr>
        <w:pStyle w:val="ZT"/>
        <w:framePr w:w="10206" w:wrap="notBeside"/>
      </w:pPr>
      <w:r w:rsidRPr="00D96E2A">
        <w:t>multi-radio and combined radio and non-radio equipment;</w:t>
      </w:r>
    </w:p>
    <w:p w:rsidR="00D96E2A" w:rsidRPr="00D96E2A" w:rsidRDefault="00D96E2A" w:rsidP="00D96E2A">
      <w:pPr>
        <w:pStyle w:val="ZT"/>
        <w:framePr w:w="10206" w:wrap="notBeside"/>
      </w:pPr>
      <w:r w:rsidRPr="00D96E2A">
        <w:t xml:space="preserve">Part 2: Effective </w:t>
      </w:r>
      <w:r w:rsidR="00097762">
        <w:t>u</w:t>
      </w:r>
      <w:r w:rsidRPr="00D96E2A">
        <w:t>se o</w:t>
      </w:r>
      <w:r w:rsidR="00F10424">
        <w:t xml:space="preserve">f the </w:t>
      </w:r>
      <w:r w:rsidR="00097762">
        <w:t>r</w:t>
      </w:r>
      <w:r w:rsidR="00F10424">
        <w:t xml:space="preserve">adio </w:t>
      </w:r>
      <w:r w:rsidR="00097762">
        <w:t>f</w:t>
      </w:r>
      <w:r w:rsidR="00F10424">
        <w:t xml:space="preserve">requency </w:t>
      </w:r>
      <w:r w:rsidR="00097762">
        <w:t>s</w:t>
      </w:r>
      <w:r w:rsidR="00F10424">
        <w:t>pectrum</w:t>
      </w:r>
    </w:p>
    <w:p w:rsidR="00D96E2A" w:rsidRPr="00E47F9A" w:rsidRDefault="00D96E2A" w:rsidP="00D96E2A">
      <w:pPr>
        <w:pStyle w:val="ZU"/>
        <w:framePr w:wrap="notBeside"/>
        <w:rPr>
          <w:noProof w:val="0"/>
        </w:rPr>
      </w:pPr>
    </w:p>
    <w:p w:rsidR="00D96E2A" w:rsidRPr="00E47F9A" w:rsidRDefault="00D96E2A" w:rsidP="00D96E2A">
      <w:pPr>
        <w:pStyle w:val="ZG"/>
        <w:framePr w:wrap="notBeside"/>
        <w:rPr>
          <w:noProof w:val="0"/>
        </w:rPr>
      </w:pPr>
    </w:p>
    <w:p w:rsidR="00D96E2A" w:rsidRPr="00E47F9A" w:rsidRDefault="00D96E2A" w:rsidP="00D96E2A">
      <w:pPr>
        <w:pStyle w:val="ZD"/>
        <w:framePr w:wrap="notBeside"/>
        <w:rPr>
          <w:noProof w:val="0"/>
        </w:rPr>
      </w:pPr>
    </w:p>
    <w:p w:rsidR="00D96E2A" w:rsidRPr="00E47F9A" w:rsidRDefault="00D96E2A" w:rsidP="00D96E2A">
      <w:pPr>
        <w:pStyle w:val="ZV"/>
        <w:framePr w:wrap="notBeside"/>
        <w:rPr>
          <w:noProof w:val="0"/>
        </w:rPr>
      </w:pPr>
    </w:p>
    <w:p w:rsidR="00D96E2A" w:rsidRPr="00E47F9A" w:rsidRDefault="00D96E2A" w:rsidP="00D96E2A"/>
    <w:p w:rsidR="00D96E2A" w:rsidRPr="00E47F9A" w:rsidRDefault="00D96E2A" w:rsidP="00D96E2A">
      <w:pPr>
        <w:sectPr w:rsidR="00D96E2A" w:rsidRPr="00E47F9A">
          <w:headerReference w:type="default" r:id="rId7"/>
          <w:footnotePr>
            <w:numRestart w:val="eachSect"/>
          </w:footnotePr>
          <w:pgSz w:w="11907" w:h="16840"/>
          <w:pgMar w:top="2268" w:right="851" w:bottom="10773" w:left="851" w:header="0" w:footer="0" w:gutter="0"/>
          <w:cols w:space="708"/>
        </w:sectPr>
      </w:pPr>
    </w:p>
    <w:p w:rsidR="00D96E2A" w:rsidRPr="00E47F9A" w:rsidRDefault="00D96E2A" w:rsidP="00D96E2A">
      <w:pPr>
        <w:pStyle w:val="FP"/>
        <w:framePr w:wrap="notBeside" w:vAnchor="page" w:hAnchor="page" w:x="1141" w:y="2836"/>
        <w:pBdr>
          <w:bottom w:val="single" w:sz="6" w:space="1" w:color="auto"/>
        </w:pBdr>
        <w:ind w:left="2835" w:right="2835"/>
        <w:jc w:val="center"/>
      </w:pPr>
      <w:r w:rsidRPr="00E47F9A">
        <w:lastRenderedPageBreak/>
        <w:t>Reference</w:t>
      </w:r>
    </w:p>
    <w:p w:rsidR="00D96E2A" w:rsidRPr="00E47F9A" w:rsidRDefault="00D96E2A" w:rsidP="00D96E2A">
      <w:pPr>
        <w:pStyle w:val="FP"/>
        <w:framePr w:wrap="notBeside" w:vAnchor="page" w:hAnchor="page" w:x="1141" w:y="2836"/>
        <w:ind w:left="2268" w:right="2268"/>
        <w:jc w:val="center"/>
        <w:rPr>
          <w:rFonts w:ascii="Arial" w:hAnsi="Arial"/>
          <w:sz w:val="18"/>
        </w:rPr>
      </w:pPr>
      <w:r>
        <w:rPr>
          <w:rFonts w:ascii="Arial" w:hAnsi="Arial"/>
          <w:sz w:val="18"/>
        </w:rPr>
        <w:t>DTR/ERM-TG20-001-2</w:t>
      </w:r>
    </w:p>
    <w:p w:rsidR="00D96E2A" w:rsidRPr="00E47F9A" w:rsidRDefault="00D96E2A" w:rsidP="00D96E2A">
      <w:pPr>
        <w:pStyle w:val="FP"/>
        <w:framePr w:wrap="notBeside" w:vAnchor="page" w:hAnchor="page" w:x="1141" w:y="2836"/>
        <w:pBdr>
          <w:bottom w:val="single" w:sz="6" w:space="1" w:color="auto"/>
        </w:pBdr>
        <w:spacing w:before="240"/>
        <w:ind w:left="2835" w:right="2835"/>
        <w:jc w:val="center"/>
      </w:pPr>
      <w:r w:rsidRPr="00E47F9A">
        <w:t>Keywords</w:t>
      </w:r>
    </w:p>
    <w:p w:rsidR="00D96E2A" w:rsidRPr="00E47F9A" w:rsidRDefault="00DF57B2" w:rsidP="00D96E2A">
      <w:pPr>
        <w:pStyle w:val="FP"/>
        <w:framePr w:wrap="notBeside" w:vAnchor="page" w:hAnchor="page" w:x="1141" w:y="2836"/>
        <w:ind w:left="2835" w:right="2835"/>
        <w:jc w:val="center"/>
        <w:rPr>
          <w:rFonts w:ascii="Arial" w:hAnsi="Arial"/>
          <w:sz w:val="18"/>
        </w:rPr>
      </w:pPr>
      <w:r w:rsidRPr="00DF57B2">
        <w:rPr>
          <w:rFonts w:ascii="Arial" w:hAnsi="Arial"/>
          <w:sz w:val="18"/>
        </w:rPr>
        <w:t>EMC</w:t>
      </w:r>
      <w:r w:rsidR="00D96E2A">
        <w:rPr>
          <w:rFonts w:ascii="Arial" w:hAnsi="Arial"/>
          <w:sz w:val="18"/>
        </w:rPr>
        <w:t>, radio</w:t>
      </w:r>
    </w:p>
    <w:p w:rsidR="00D96E2A" w:rsidRPr="00E47F9A" w:rsidRDefault="00D96E2A" w:rsidP="00D96E2A"/>
    <w:p w:rsidR="00D96E2A" w:rsidRPr="00E47F9A" w:rsidRDefault="00D96E2A" w:rsidP="00D96E2A">
      <w:pPr>
        <w:pStyle w:val="FP"/>
        <w:framePr w:wrap="notBeside" w:vAnchor="page" w:hAnchor="page" w:x="1156" w:y="5581"/>
        <w:spacing w:after="240"/>
        <w:ind w:left="2835" w:right="2835"/>
        <w:jc w:val="center"/>
        <w:rPr>
          <w:rFonts w:ascii="Arial" w:hAnsi="Arial"/>
          <w:b/>
          <w:i/>
        </w:rPr>
      </w:pPr>
      <w:r w:rsidRPr="00E47F9A">
        <w:rPr>
          <w:rFonts w:ascii="Arial" w:hAnsi="Arial"/>
          <w:b/>
          <w:i/>
        </w:rPr>
        <w:t>ETSI</w:t>
      </w:r>
    </w:p>
    <w:p w:rsidR="00D96E2A" w:rsidRPr="00E47F9A" w:rsidRDefault="00D96E2A" w:rsidP="00D96E2A">
      <w:pPr>
        <w:pStyle w:val="FP"/>
        <w:framePr w:wrap="notBeside" w:vAnchor="page" w:hAnchor="page" w:x="1156" w:y="5581"/>
        <w:pBdr>
          <w:bottom w:val="single" w:sz="6" w:space="1" w:color="auto"/>
        </w:pBdr>
        <w:ind w:left="2835" w:right="2835"/>
        <w:jc w:val="center"/>
        <w:rPr>
          <w:rFonts w:ascii="Arial" w:hAnsi="Arial"/>
          <w:sz w:val="18"/>
        </w:rPr>
      </w:pPr>
      <w:r w:rsidRPr="00E47F9A">
        <w:rPr>
          <w:rFonts w:ascii="Arial" w:hAnsi="Arial"/>
          <w:sz w:val="18"/>
        </w:rPr>
        <w:t>650 Route des Lucioles</w:t>
      </w:r>
    </w:p>
    <w:p w:rsidR="00D96E2A" w:rsidRPr="00E47F9A" w:rsidRDefault="00D96E2A" w:rsidP="00D96E2A">
      <w:pPr>
        <w:pStyle w:val="FP"/>
        <w:framePr w:wrap="notBeside" w:vAnchor="page" w:hAnchor="page" w:x="1156" w:y="5581"/>
        <w:pBdr>
          <w:bottom w:val="single" w:sz="6" w:space="1" w:color="auto"/>
        </w:pBdr>
        <w:ind w:left="2835" w:right="2835"/>
        <w:jc w:val="center"/>
      </w:pPr>
      <w:r w:rsidRPr="00E47F9A">
        <w:rPr>
          <w:rFonts w:ascii="Arial" w:hAnsi="Arial"/>
          <w:sz w:val="18"/>
        </w:rPr>
        <w:t>F-06921 Sophia Antipolis Cedex - FRANCE</w:t>
      </w:r>
    </w:p>
    <w:p w:rsidR="00D96E2A" w:rsidRPr="00E47F9A" w:rsidRDefault="00D96E2A" w:rsidP="00D96E2A">
      <w:pPr>
        <w:pStyle w:val="FP"/>
        <w:framePr w:wrap="notBeside" w:vAnchor="page" w:hAnchor="page" w:x="1156" w:y="5581"/>
        <w:ind w:left="2835" w:right="2835"/>
        <w:jc w:val="center"/>
        <w:rPr>
          <w:rFonts w:ascii="Arial" w:hAnsi="Arial"/>
          <w:sz w:val="18"/>
        </w:rPr>
      </w:pPr>
    </w:p>
    <w:p w:rsidR="00D96E2A" w:rsidRPr="00E47F9A" w:rsidRDefault="00D96E2A" w:rsidP="00D96E2A">
      <w:pPr>
        <w:pStyle w:val="FP"/>
        <w:framePr w:wrap="notBeside" w:vAnchor="page" w:hAnchor="page" w:x="1156" w:y="5581"/>
        <w:spacing w:after="20"/>
        <w:ind w:left="2835" w:right="2835"/>
        <w:jc w:val="center"/>
        <w:rPr>
          <w:rFonts w:ascii="Arial" w:hAnsi="Arial"/>
          <w:sz w:val="18"/>
        </w:rPr>
      </w:pPr>
      <w:r w:rsidRPr="00E47F9A">
        <w:rPr>
          <w:rFonts w:ascii="Arial" w:hAnsi="Arial"/>
          <w:sz w:val="18"/>
        </w:rPr>
        <w:t>Tel.: +33 4 92 94 42 00   Fax: +33 4 93 65 47 16</w:t>
      </w:r>
    </w:p>
    <w:p w:rsidR="00D96E2A" w:rsidRPr="00E47F9A" w:rsidRDefault="00D96E2A" w:rsidP="00D96E2A">
      <w:pPr>
        <w:pStyle w:val="FP"/>
        <w:framePr w:wrap="notBeside" w:vAnchor="page" w:hAnchor="page" w:x="1156" w:y="5581"/>
        <w:ind w:left="2835" w:right="2835"/>
        <w:jc w:val="center"/>
        <w:rPr>
          <w:rFonts w:ascii="Arial" w:hAnsi="Arial"/>
          <w:sz w:val="15"/>
        </w:rPr>
      </w:pPr>
    </w:p>
    <w:p w:rsidR="00D96E2A" w:rsidRPr="00E47F9A" w:rsidRDefault="00D96E2A" w:rsidP="00D96E2A">
      <w:pPr>
        <w:pStyle w:val="FP"/>
        <w:framePr w:wrap="notBeside" w:vAnchor="page" w:hAnchor="page" w:x="1156" w:y="5581"/>
        <w:ind w:left="2835" w:right="2835"/>
        <w:jc w:val="center"/>
        <w:rPr>
          <w:rFonts w:ascii="Arial" w:hAnsi="Arial"/>
          <w:sz w:val="15"/>
        </w:rPr>
      </w:pPr>
      <w:r w:rsidRPr="00E47F9A">
        <w:rPr>
          <w:rFonts w:ascii="Arial" w:hAnsi="Arial"/>
          <w:sz w:val="15"/>
        </w:rPr>
        <w:t>Siret N° 348 623 562 00017 - NAF 742 C</w:t>
      </w:r>
    </w:p>
    <w:p w:rsidR="00D96E2A" w:rsidRPr="00E47F9A" w:rsidRDefault="00D96E2A" w:rsidP="00D96E2A">
      <w:pPr>
        <w:pStyle w:val="FP"/>
        <w:framePr w:wrap="notBeside" w:vAnchor="page" w:hAnchor="page" w:x="1156" w:y="5581"/>
        <w:ind w:left="2835" w:right="2835"/>
        <w:jc w:val="center"/>
        <w:rPr>
          <w:rFonts w:ascii="Arial" w:hAnsi="Arial"/>
          <w:sz w:val="15"/>
        </w:rPr>
      </w:pPr>
      <w:r w:rsidRPr="00E47F9A">
        <w:rPr>
          <w:rFonts w:ascii="Arial" w:hAnsi="Arial"/>
          <w:sz w:val="15"/>
        </w:rPr>
        <w:t>Association à but non lucratif enregistrée à la</w:t>
      </w:r>
    </w:p>
    <w:p w:rsidR="00D96E2A" w:rsidRPr="00E47F9A" w:rsidRDefault="00D96E2A" w:rsidP="00D96E2A">
      <w:pPr>
        <w:pStyle w:val="FP"/>
        <w:framePr w:wrap="notBeside" w:vAnchor="page" w:hAnchor="page" w:x="1156" w:y="5581"/>
        <w:ind w:left="2835" w:right="2835"/>
        <w:jc w:val="center"/>
        <w:rPr>
          <w:rFonts w:ascii="Arial" w:hAnsi="Arial"/>
          <w:sz w:val="15"/>
        </w:rPr>
      </w:pPr>
      <w:r w:rsidRPr="00E47F9A">
        <w:rPr>
          <w:rFonts w:ascii="Arial" w:hAnsi="Arial"/>
          <w:sz w:val="15"/>
        </w:rPr>
        <w:t>Sous-Préfecture de Grasse (06) N° 7803/88</w:t>
      </w:r>
    </w:p>
    <w:p w:rsidR="00D96E2A" w:rsidRPr="00E47F9A" w:rsidRDefault="00D96E2A" w:rsidP="00D96E2A">
      <w:pPr>
        <w:pStyle w:val="FP"/>
        <w:framePr w:wrap="notBeside" w:vAnchor="page" w:hAnchor="page" w:x="1156" w:y="5581"/>
        <w:ind w:left="2835" w:right="2835"/>
        <w:jc w:val="center"/>
        <w:rPr>
          <w:rFonts w:ascii="Arial" w:hAnsi="Arial"/>
          <w:sz w:val="18"/>
        </w:rPr>
      </w:pPr>
    </w:p>
    <w:p w:rsidR="00D96E2A" w:rsidRPr="00E47F9A" w:rsidRDefault="00D96E2A" w:rsidP="00D96E2A"/>
    <w:p w:rsidR="00D96E2A" w:rsidRPr="00E47F9A" w:rsidRDefault="00D96E2A" w:rsidP="00D96E2A"/>
    <w:p w:rsidR="00D96E2A" w:rsidRPr="00E47F9A" w:rsidRDefault="00D96E2A" w:rsidP="00D96E2A">
      <w:pPr>
        <w:pStyle w:val="FP"/>
        <w:framePr w:h="6511" w:hRule="exact" w:wrap="notBeside" w:vAnchor="page" w:hAnchor="page" w:x="1036" w:y="8926"/>
        <w:pBdr>
          <w:bottom w:val="single" w:sz="6" w:space="1" w:color="auto"/>
        </w:pBdr>
        <w:spacing w:after="240"/>
        <w:ind w:left="2835" w:right="2835"/>
        <w:jc w:val="center"/>
        <w:rPr>
          <w:rFonts w:ascii="Arial" w:hAnsi="Arial"/>
          <w:b/>
          <w:i/>
        </w:rPr>
      </w:pPr>
      <w:r w:rsidRPr="00E47F9A">
        <w:rPr>
          <w:rFonts w:ascii="Arial" w:hAnsi="Arial"/>
          <w:b/>
          <w:i/>
        </w:rPr>
        <w:t>Important notice</w:t>
      </w:r>
    </w:p>
    <w:p w:rsidR="00D96E2A" w:rsidRPr="00E47F9A" w:rsidRDefault="00D96E2A" w:rsidP="00D96E2A">
      <w:pPr>
        <w:pStyle w:val="FP"/>
        <w:framePr w:h="6511" w:hRule="exact" w:wrap="notBeside" w:vAnchor="page" w:hAnchor="page" w:x="1036" w:y="8926"/>
        <w:spacing w:after="240"/>
        <w:jc w:val="center"/>
        <w:rPr>
          <w:rFonts w:ascii="Arial" w:hAnsi="Arial" w:cs="Arial"/>
          <w:sz w:val="18"/>
        </w:rPr>
      </w:pPr>
      <w:r w:rsidRPr="00E47F9A">
        <w:rPr>
          <w:rFonts w:ascii="Arial" w:hAnsi="Arial" w:cs="Arial"/>
          <w:sz w:val="18"/>
        </w:rPr>
        <w:t>Individual copies of the present document can be downloaded from:</w:t>
      </w:r>
      <w:r w:rsidRPr="00E47F9A">
        <w:rPr>
          <w:rFonts w:ascii="Arial" w:hAnsi="Arial" w:cs="Arial"/>
          <w:sz w:val="18"/>
        </w:rPr>
        <w:br/>
      </w:r>
      <w:hyperlink r:id="rId8" w:history="1">
        <w:r w:rsidRPr="00DF57B2">
          <w:rPr>
            <w:rStyle w:val="Kpr"/>
            <w:rFonts w:ascii="Arial" w:hAnsi="Arial"/>
            <w:sz w:val="18"/>
          </w:rPr>
          <w:t>http://www.etsi.org</w:t>
        </w:r>
      </w:hyperlink>
    </w:p>
    <w:p w:rsidR="00D96E2A" w:rsidRPr="00E47F9A" w:rsidRDefault="00D96E2A" w:rsidP="00D96E2A">
      <w:pPr>
        <w:pStyle w:val="FP"/>
        <w:framePr w:h="6511" w:hRule="exact" w:wrap="notBeside" w:vAnchor="page" w:hAnchor="page" w:x="1036" w:y="8926"/>
        <w:spacing w:after="240"/>
        <w:jc w:val="center"/>
        <w:rPr>
          <w:rFonts w:ascii="Arial" w:hAnsi="Arial" w:cs="Arial"/>
          <w:sz w:val="18"/>
        </w:rPr>
      </w:pPr>
      <w:r w:rsidRPr="00E47F9A">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E47F9A">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E47F9A">
        <w:rPr>
          <w:rFonts w:ascii="Arial" w:hAnsi="Arial" w:cs="Arial"/>
          <w:sz w:val="18"/>
        </w:rPr>
        <w:t>ETSI Secretariat.</w:t>
      </w:r>
    </w:p>
    <w:p w:rsidR="00D96E2A" w:rsidRPr="00E47F9A" w:rsidRDefault="00D96E2A" w:rsidP="00D96E2A">
      <w:pPr>
        <w:pStyle w:val="FP"/>
        <w:framePr w:h="6511" w:hRule="exact" w:wrap="notBeside" w:vAnchor="page" w:hAnchor="page" w:x="1036" w:y="8926"/>
        <w:spacing w:after="240"/>
        <w:jc w:val="center"/>
        <w:rPr>
          <w:rFonts w:ascii="Arial" w:hAnsi="Arial" w:cs="Arial"/>
          <w:sz w:val="18"/>
        </w:rPr>
      </w:pPr>
      <w:r w:rsidRPr="00E47F9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9" w:history="1">
        <w:r w:rsidRPr="00DF57B2">
          <w:rPr>
            <w:rStyle w:val="Kpr"/>
            <w:rFonts w:ascii="Arial" w:hAnsi="Arial" w:cs="Arial"/>
            <w:sz w:val="18"/>
          </w:rPr>
          <w:t>http://portal.etsi.org/tb/status/status.asp</w:t>
        </w:r>
      </w:hyperlink>
    </w:p>
    <w:p w:rsidR="00D96E2A" w:rsidRPr="00E47F9A" w:rsidRDefault="00D96E2A" w:rsidP="00D96E2A">
      <w:pPr>
        <w:pStyle w:val="FP"/>
        <w:framePr w:h="6511" w:hRule="exact" w:wrap="notBeside" w:vAnchor="page" w:hAnchor="page" w:x="1036" w:y="8926"/>
        <w:pBdr>
          <w:bottom w:val="single" w:sz="6" w:space="1" w:color="auto"/>
        </w:pBdr>
        <w:spacing w:after="240"/>
        <w:jc w:val="center"/>
        <w:rPr>
          <w:rFonts w:ascii="Arial" w:hAnsi="Arial" w:cs="Arial"/>
          <w:sz w:val="18"/>
        </w:rPr>
      </w:pPr>
      <w:r w:rsidRPr="00E47F9A">
        <w:rPr>
          <w:rFonts w:ascii="Arial" w:hAnsi="Arial" w:cs="Arial"/>
          <w:sz w:val="18"/>
        </w:rPr>
        <w:t>If you find errors in the present document, send your comment to:</w:t>
      </w:r>
      <w:r w:rsidRPr="00E47F9A">
        <w:rPr>
          <w:rFonts w:ascii="Arial" w:hAnsi="Arial" w:cs="Arial"/>
          <w:sz w:val="18"/>
        </w:rPr>
        <w:br/>
      </w:r>
      <w:hyperlink r:id="rId10" w:history="1">
        <w:r w:rsidRPr="00DF57B2">
          <w:rPr>
            <w:rStyle w:val="Kpr"/>
            <w:rFonts w:ascii="Arial" w:hAnsi="Arial" w:cs="Arial"/>
            <w:sz w:val="18"/>
          </w:rPr>
          <w:t>editor@ets</w:t>
        </w:r>
        <w:r w:rsidRPr="00DF57B2">
          <w:rPr>
            <w:rStyle w:val="Kpr"/>
            <w:rFonts w:ascii="Arial" w:hAnsi="Arial" w:cs="Arial"/>
            <w:sz w:val="18"/>
          </w:rPr>
          <w:t>i</w:t>
        </w:r>
        <w:r w:rsidRPr="00DF57B2">
          <w:rPr>
            <w:rStyle w:val="Kpr"/>
            <w:rFonts w:ascii="Arial" w:hAnsi="Arial" w:cs="Arial"/>
            <w:sz w:val="18"/>
          </w:rPr>
          <w:t>.org</w:t>
        </w:r>
      </w:hyperlink>
    </w:p>
    <w:p w:rsidR="00D96E2A" w:rsidRPr="00E47F9A" w:rsidRDefault="00D96E2A" w:rsidP="00D96E2A">
      <w:pPr>
        <w:pStyle w:val="FP"/>
        <w:framePr w:h="6511" w:hRule="exact" w:wrap="notBeside" w:vAnchor="page" w:hAnchor="page" w:x="1036" w:y="8926"/>
        <w:pBdr>
          <w:bottom w:val="single" w:sz="6" w:space="1" w:color="auto"/>
        </w:pBdr>
        <w:spacing w:after="240"/>
        <w:jc w:val="center"/>
        <w:rPr>
          <w:rFonts w:ascii="Arial" w:hAnsi="Arial"/>
          <w:b/>
          <w:i/>
        </w:rPr>
      </w:pPr>
      <w:r w:rsidRPr="00E47F9A">
        <w:rPr>
          <w:rFonts w:ascii="Arial" w:hAnsi="Arial"/>
          <w:b/>
          <w:i/>
        </w:rPr>
        <w:t>Copyright Notification</w:t>
      </w:r>
    </w:p>
    <w:p w:rsidR="00D96E2A" w:rsidRPr="00E47F9A" w:rsidRDefault="00D96E2A" w:rsidP="00D96E2A">
      <w:pPr>
        <w:pStyle w:val="FP"/>
        <w:framePr w:h="6511" w:hRule="exact" w:wrap="notBeside" w:vAnchor="page" w:hAnchor="page" w:x="1036" w:y="8926"/>
        <w:jc w:val="center"/>
        <w:rPr>
          <w:rFonts w:ascii="Arial" w:hAnsi="Arial" w:cs="Arial"/>
          <w:sz w:val="18"/>
        </w:rPr>
      </w:pPr>
      <w:r w:rsidRPr="00E47F9A">
        <w:rPr>
          <w:rFonts w:ascii="Arial" w:hAnsi="Arial" w:cs="Arial"/>
          <w:sz w:val="18"/>
        </w:rPr>
        <w:t>No part may be reproduced except as authorized by written permission.</w:t>
      </w:r>
      <w:r w:rsidRPr="00E47F9A">
        <w:rPr>
          <w:rFonts w:ascii="Arial" w:hAnsi="Arial" w:cs="Arial"/>
          <w:sz w:val="18"/>
        </w:rPr>
        <w:br/>
        <w:t>The copyright and the foregoing restriction extend to reproduction in all media.</w:t>
      </w:r>
    </w:p>
    <w:p w:rsidR="00D96E2A" w:rsidRPr="00E47F9A" w:rsidRDefault="00D96E2A" w:rsidP="00D96E2A">
      <w:pPr>
        <w:pStyle w:val="FP"/>
        <w:framePr w:h="6511" w:hRule="exact" w:wrap="notBeside" w:vAnchor="page" w:hAnchor="page" w:x="1036" w:y="8926"/>
        <w:jc w:val="center"/>
        <w:rPr>
          <w:rFonts w:ascii="Arial" w:hAnsi="Arial" w:cs="Arial"/>
          <w:sz w:val="18"/>
        </w:rPr>
      </w:pPr>
    </w:p>
    <w:p w:rsidR="00D96E2A" w:rsidRPr="00E47F9A" w:rsidRDefault="00D96E2A" w:rsidP="00D96E2A">
      <w:pPr>
        <w:pStyle w:val="FP"/>
        <w:framePr w:h="6511" w:hRule="exact" w:wrap="notBeside" w:vAnchor="page" w:hAnchor="page" w:x="1036" w:y="8926"/>
        <w:jc w:val="center"/>
        <w:rPr>
          <w:rFonts w:ascii="Arial" w:hAnsi="Arial" w:cs="Arial"/>
          <w:sz w:val="18"/>
        </w:rPr>
      </w:pPr>
      <w:r w:rsidRPr="00E47F9A">
        <w:rPr>
          <w:rFonts w:ascii="Arial" w:hAnsi="Arial" w:cs="Arial"/>
          <w:sz w:val="18"/>
        </w:rPr>
        <w:t xml:space="preserve">© European Telecommunications Standards Institute </w:t>
      </w:r>
      <w:r>
        <w:rPr>
          <w:rFonts w:ascii="Arial" w:hAnsi="Arial" w:cs="Arial"/>
          <w:sz w:val="18"/>
        </w:rPr>
        <w:t>2002</w:t>
      </w:r>
      <w:r w:rsidRPr="00E47F9A">
        <w:rPr>
          <w:rFonts w:ascii="Arial" w:hAnsi="Arial" w:cs="Arial"/>
          <w:sz w:val="18"/>
        </w:rPr>
        <w:t>.</w:t>
      </w:r>
    </w:p>
    <w:p w:rsidR="00D96E2A" w:rsidRPr="00E47F9A" w:rsidRDefault="00D96E2A" w:rsidP="00D96E2A">
      <w:pPr>
        <w:pStyle w:val="FP"/>
        <w:framePr w:h="6511" w:hRule="exact" w:wrap="notBeside" w:vAnchor="page" w:hAnchor="page" w:x="1036" w:y="8926"/>
        <w:jc w:val="center"/>
        <w:rPr>
          <w:rFonts w:ascii="Arial" w:hAnsi="Arial" w:cs="Arial"/>
          <w:sz w:val="18"/>
        </w:rPr>
      </w:pPr>
      <w:r w:rsidRPr="00E47F9A">
        <w:rPr>
          <w:rFonts w:ascii="Arial" w:hAnsi="Arial" w:cs="Arial"/>
          <w:sz w:val="18"/>
        </w:rPr>
        <w:t>All rights reserved.</w:t>
      </w:r>
      <w:r w:rsidRPr="00E47F9A">
        <w:rPr>
          <w:rFonts w:ascii="Arial" w:hAnsi="Arial" w:cs="Arial"/>
          <w:sz w:val="18"/>
        </w:rPr>
        <w:br/>
      </w:r>
    </w:p>
    <w:p w:rsidR="00D96E2A" w:rsidRPr="00E47F9A" w:rsidRDefault="00D96E2A" w:rsidP="00D96E2A">
      <w:pPr>
        <w:pStyle w:val="FP"/>
        <w:framePr w:h="6511" w:hRule="exact" w:wrap="notBeside" w:vAnchor="page" w:hAnchor="page" w:x="1036" w:y="8926"/>
        <w:jc w:val="center"/>
        <w:rPr>
          <w:rFonts w:ascii="Arial" w:hAnsi="Arial" w:cs="Arial"/>
          <w:sz w:val="18"/>
        </w:rPr>
      </w:pPr>
      <w:r w:rsidRPr="00E47F9A">
        <w:rPr>
          <w:rFonts w:ascii="Arial" w:hAnsi="Arial" w:cs="Arial"/>
          <w:b/>
          <w:bCs/>
          <w:sz w:val="18"/>
        </w:rPr>
        <w:t>DECT</w:t>
      </w:r>
      <w:r w:rsidRPr="00E47F9A">
        <w:rPr>
          <w:rFonts w:ascii="Arial" w:hAnsi="Arial" w:cs="Arial"/>
          <w:sz w:val="18"/>
          <w:vertAlign w:val="superscript"/>
        </w:rPr>
        <w:t>TM</w:t>
      </w:r>
      <w:r w:rsidRPr="00E47F9A">
        <w:rPr>
          <w:rFonts w:ascii="Arial" w:hAnsi="Arial" w:cs="Arial"/>
          <w:sz w:val="18"/>
        </w:rPr>
        <w:t xml:space="preserve">, </w:t>
      </w:r>
      <w:r w:rsidRPr="00E47F9A">
        <w:rPr>
          <w:rFonts w:ascii="Arial" w:hAnsi="Arial" w:cs="Arial"/>
          <w:b/>
          <w:bCs/>
          <w:sz w:val="18"/>
        </w:rPr>
        <w:t>PLUGTESTS</w:t>
      </w:r>
      <w:r w:rsidRPr="00E47F9A">
        <w:rPr>
          <w:rFonts w:ascii="Arial" w:hAnsi="Arial" w:cs="Arial"/>
          <w:sz w:val="18"/>
          <w:vertAlign w:val="superscript"/>
        </w:rPr>
        <w:t xml:space="preserve">TM </w:t>
      </w:r>
      <w:r w:rsidRPr="00E47F9A">
        <w:rPr>
          <w:rFonts w:ascii="Arial" w:hAnsi="Arial" w:cs="Arial"/>
          <w:sz w:val="18"/>
        </w:rPr>
        <w:t xml:space="preserve">and </w:t>
      </w:r>
      <w:r w:rsidRPr="00E47F9A">
        <w:rPr>
          <w:rFonts w:ascii="Arial" w:hAnsi="Arial" w:cs="Arial"/>
          <w:b/>
          <w:bCs/>
          <w:sz w:val="18"/>
        </w:rPr>
        <w:t>UMTS</w:t>
      </w:r>
      <w:r w:rsidRPr="00E47F9A">
        <w:rPr>
          <w:rFonts w:ascii="Arial" w:hAnsi="Arial" w:cs="Arial"/>
          <w:sz w:val="18"/>
          <w:vertAlign w:val="superscript"/>
        </w:rPr>
        <w:t xml:space="preserve">TM </w:t>
      </w:r>
      <w:r w:rsidRPr="00E47F9A">
        <w:rPr>
          <w:rFonts w:ascii="Arial" w:hAnsi="Arial" w:cs="Arial"/>
          <w:sz w:val="18"/>
        </w:rPr>
        <w:t>are Trade Marks of ETSI registered for the benefit of its Members.</w:t>
      </w:r>
      <w:r w:rsidRPr="00E47F9A">
        <w:rPr>
          <w:rFonts w:ascii="Arial" w:hAnsi="Arial" w:cs="Arial"/>
          <w:sz w:val="18"/>
        </w:rPr>
        <w:br/>
      </w:r>
      <w:r w:rsidRPr="00E47F9A">
        <w:rPr>
          <w:rFonts w:ascii="Arial" w:hAnsi="Arial" w:cs="Arial"/>
          <w:b/>
          <w:bCs/>
          <w:sz w:val="18"/>
        </w:rPr>
        <w:t>TIPHON</w:t>
      </w:r>
      <w:r w:rsidRPr="00E47F9A">
        <w:rPr>
          <w:rFonts w:ascii="Arial" w:hAnsi="Arial" w:cs="Arial"/>
          <w:sz w:val="18"/>
          <w:vertAlign w:val="superscript"/>
        </w:rPr>
        <w:t>TM</w:t>
      </w:r>
      <w:r w:rsidRPr="00E47F9A">
        <w:rPr>
          <w:rFonts w:ascii="Arial" w:hAnsi="Arial" w:cs="Arial"/>
          <w:sz w:val="18"/>
        </w:rPr>
        <w:t xml:space="preserve"> and the </w:t>
      </w:r>
      <w:r w:rsidRPr="00E47F9A">
        <w:rPr>
          <w:rFonts w:ascii="Arial" w:hAnsi="Arial" w:cs="Arial"/>
          <w:b/>
          <w:bCs/>
          <w:sz w:val="18"/>
        </w:rPr>
        <w:t>TIPHON logo</w:t>
      </w:r>
      <w:r w:rsidRPr="00E47F9A">
        <w:rPr>
          <w:rFonts w:ascii="Arial" w:hAnsi="Arial" w:cs="Arial"/>
          <w:sz w:val="18"/>
        </w:rPr>
        <w:t xml:space="preserve"> are Trade Marks currently being registered by ETSI for the benefit of its Members. </w:t>
      </w:r>
      <w:r w:rsidRPr="00E47F9A">
        <w:rPr>
          <w:rFonts w:ascii="Arial" w:hAnsi="Arial" w:cs="Arial"/>
          <w:b/>
          <w:bCs/>
          <w:sz w:val="18"/>
        </w:rPr>
        <w:t>3GPP</w:t>
      </w:r>
      <w:r w:rsidRPr="00E47F9A">
        <w:rPr>
          <w:rFonts w:ascii="Arial" w:hAnsi="Arial" w:cs="Arial"/>
          <w:sz w:val="18"/>
          <w:vertAlign w:val="superscript"/>
        </w:rPr>
        <w:t xml:space="preserve">TM </w:t>
      </w:r>
      <w:r w:rsidRPr="00E47F9A">
        <w:rPr>
          <w:rFonts w:ascii="Arial" w:hAnsi="Arial" w:cs="Arial"/>
          <w:sz w:val="18"/>
        </w:rPr>
        <w:t>is a Trade Mark of ETSI registered for the benefit of its Members and of the 3GPP Organizational Partners.</w:t>
      </w:r>
    </w:p>
    <w:p w:rsidR="002B01EC" w:rsidRPr="002271FB" w:rsidRDefault="00D96E2A" w:rsidP="00D96E2A">
      <w:pPr>
        <w:pStyle w:val="TT"/>
      </w:pPr>
      <w:r w:rsidRPr="00E47F9A">
        <w:br w:type="page"/>
      </w:r>
      <w:r w:rsidR="002B01EC" w:rsidRPr="002271FB">
        <w:lastRenderedPageBreak/>
        <w:t>Contents</w:t>
      </w:r>
    </w:p>
    <w:p w:rsidR="00C337CD" w:rsidRDefault="002B01EC" w:rsidP="00C337CD">
      <w:pPr>
        <w:pStyle w:val="T1"/>
        <w:rPr>
          <w:sz w:val="24"/>
          <w:szCs w:val="24"/>
          <w:lang w:val="en-US"/>
        </w:rPr>
      </w:pPr>
      <w:r w:rsidRPr="002271FB">
        <w:rPr>
          <w:noProof w:val="0"/>
        </w:rPr>
        <w:fldChar w:fldCharType="begin"/>
      </w:r>
      <w:r w:rsidR="00C337CD">
        <w:rPr>
          <w:noProof w:val="0"/>
        </w:rPr>
        <w:instrText>TOC \o \w "1-9"</w:instrText>
      </w:r>
      <w:r w:rsidRPr="002271FB">
        <w:rPr>
          <w:noProof w:val="0"/>
        </w:rPr>
        <w:fldChar w:fldCharType="separate"/>
      </w:r>
      <w:r w:rsidR="00C337CD">
        <w:t>Intellectual Property Rights</w:t>
      </w:r>
      <w:r w:rsidR="00C337CD">
        <w:tab/>
      </w:r>
      <w:r w:rsidR="00C337CD">
        <w:fldChar w:fldCharType="begin"/>
      </w:r>
      <w:r w:rsidR="00C337CD">
        <w:instrText xml:space="preserve"> PAGEREF _Toc25029055 \h </w:instrText>
      </w:r>
      <w:r w:rsidR="00C337CD">
        <w:fldChar w:fldCharType="separate"/>
      </w:r>
      <w:r w:rsidR="00B87D23">
        <w:t>4</w:t>
      </w:r>
      <w:r w:rsidR="00C337CD">
        <w:fldChar w:fldCharType="end"/>
      </w:r>
    </w:p>
    <w:p w:rsidR="00C337CD" w:rsidRDefault="00C337CD" w:rsidP="00C337CD">
      <w:pPr>
        <w:pStyle w:val="T1"/>
        <w:rPr>
          <w:sz w:val="24"/>
          <w:szCs w:val="24"/>
          <w:lang w:val="en-US"/>
        </w:rPr>
      </w:pPr>
      <w:r>
        <w:t>Foreword</w:t>
      </w:r>
      <w:r>
        <w:tab/>
      </w:r>
      <w:r>
        <w:fldChar w:fldCharType="begin"/>
      </w:r>
      <w:r>
        <w:instrText xml:space="preserve"> PAGEREF _Toc25029056 \h </w:instrText>
      </w:r>
      <w:r>
        <w:fldChar w:fldCharType="separate"/>
      </w:r>
      <w:r w:rsidR="00B87D23">
        <w:t>4</w:t>
      </w:r>
      <w:r>
        <w:fldChar w:fldCharType="end"/>
      </w:r>
    </w:p>
    <w:p w:rsidR="00C337CD" w:rsidRDefault="00C337CD" w:rsidP="00C337CD">
      <w:pPr>
        <w:pStyle w:val="T1"/>
        <w:rPr>
          <w:sz w:val="24"/>
          <w:szCs w:val="24"/>
          <w:lang w:val="en-US"/>
        </w:rPr>
      </w:pPr>
      <w:r>
        <w:t>Introduction</w:t>
      </w:r>
      <w:r>
        <w:tab/>
      </w:r>
      <w:r>
        <w:fldChar w:fldCharType="begin"/>
      </w:r>
      <w:r>
        <w:instrText xml:space="preserve"> PAGEREF _Toc25029057 \h </w:instrText>
      </w:r>
      <w:r>
        <w:fldChar w:fldCharType="separate"/>
      </w:r>
      <w:r w:rsidR="00B87D23">
        <w:t>4</w:t>
      </w:r>
      <w:r>
        <w:fldChar w:fldCharType="end"/>
      </w:r>
    </w:p>
    <w:p w:rsidR="00C337CD" w:rsidRDefault="00C337CD" w:rsidP="00C337CD">
      <w:pPr>
        <w:pStyle w:val="T1"/>
        <w:rPr>
          <w:sz w:val="24"/>
          <w:szCs w:val="24"/>
          <w:lang w:val="en-US"/>
        </w:rPr>
      </w:pPr>
      <w:r>
        <w:t>1</w:t>
      </w:r>
      <w:r>
        <w:tab/>
        <w:t>Scope</w:t>
      </w:r>
      <w:r>
        <w:tab/>
      </w:r>
      <w:r>
        <w:fldChar w:fldCharType="begin"/>
      </w:r>
      <w:r>
        <w:instrText xml:space="preserve"> PAGEREF _Toc25029058 \h </w:instrText>
      </w:r>
      <w:r>
        <w:fldChar w:fldCharType="separate"/>
      </w:r>
      <w:r w:rsidR="00B87D23">
        <w:t>7</w:t>
      </w:r>
      <w:r>
        <w:fldChar w:fldCharType="end"/>
      </w:r>
    </w:p>
    <w:p w:rsidR="00C337CD" w:rsidRDefault="00C337CD" w:rsidP="00C337CD">
      <w:pPr>
        <w:pStyle w:val="T1"/>
        <w:rPr>
          <w:sz w:val="24"/>
          <w:szCs w:val="24"/>
          <w:lang w:val="en-US"/>
        </w:rPr>
      </w:pPr>
      <w:r>
        <w:t>2</w:t>
      </w:r>
      <w:r>
        <w:tab/>
        <w:t>References</w:t>
      </w:r>
      <w:r>
        <w:tab/>
      </w:r>
      <w:r>
        <w:fldChar w:fldCharType="begin"/>
      </w:r>
      <w:r>
        <w:instrText xml:space="preserve"> PAGEREF _Toc25029059 \h </w:instrText>
      </w:r>
      <w:r>
        <w:fldChar w:fldCharType="separate"/>
      </w:r>
      <w:r w:rsidR="00B87D23">
        <w:t>7</w:t>
      </w:r>
      <w:r>
        <w:fldChar w:fldCharType="end"/>
      </w:r>
    </w:p>
    <w:p w:rsidR="00C337CD" w:rsidRDefault="00C337CD" w:rsidP="00C337CD">
      <w:pPr>
        <w:pStyle w:val="T1"/>
        <w:rPr>
          <w:sz w:val="24"/>
          <w:szCs w:val="24"/>
          <w:lang w:val="en-US"/>
        </w:rPr>
      </w:pPr>
      <w:r>
        <w:t>3</w:t>
      </w:r>
      <w:r>
        <w:tab/>
        <w:t>Definitions and abbreviations</w:t>
      </w:r>
      <w:r>
        <w:tab/>
      </w:r>
      <w:r>
        <w:fldChar w:fldCharType="begin"/>
      </w:r>
      <w:r>
        <w:instrText xml:space="preserve"> PAGEREF _Toc25029060 \h </w:instrText>
      </w:r>
      <w:r>
        <w:fldChar w:fldCharType="separate"/>
      </w:r>
      <w:r w:rsidR="00B87D23">
        <w:t>7</w:t>
      </w:r>
      <w:r>
        <w:fldChar w:fldCharType="end"/>
      </w:r>
    </w:p>
    <w:p w:rsidR="00C337CD" w:rsidRDefault="00C337CD" w:rsidP="00C337CD">
      <w:pPr>
        <w:pStyle w:val="T2"/>
        <w:rPr>
          <w:sz w:val="24"/>
          <w:szCs w:val="24"/>
          <w:lang w:val="en-US"/>
        </w:rPr>
      </w:pPr>
      <w:r>
        <w:t>3.1</w:t>
      </w:r>
      <w:r>
        <w:tab/>
        <w:t>Definitions</w:t>
      </w:r>
      <w:r>
        <w:tab/>
      </w:r>
      <w:r>
        <w:fldChar w:fldCharType="begin"/>
      </w:r>
      <w:r>
        <w:instrText xml:space="preserve"> PAGEREF _Toc25029061 \h </w:instrText>
      </w:r>
      <w:r>
        <w:fldChar w:fldCharType="separate"/>
      </w:r>
      <w:r w:rsidR="00B87D23">
        <w:t>7</w:t>
      </w:r>
      <w:r>
        <w:fldChar w:fldCharType="end"/>
      </w:r>
    </w:p>
    <w:p w:rsidR="00C337CD" w:rsidRDefault="00C337CD" w:rsidP="00C337CD">
      <w:pPr>
        <w:pStyle w:val="T2"/>
        <w:rPr>
          <w:sz w:val="24"/>
          <w:szCs w:val="24"/>
          <w:lang w:val="en-US"/>
        </w:rPr>
      </w:pPr>
      <w:r>
        <w:t>3.2</w:t>
      </w:r>
      <w:r>
        <w:tab/>
        <w:t>Abbreviations</w:t>
      </w:r>
      <w:r>
        <w:tab/>
      </w:r>
      <w:r>
        <w:fldChar w:fldCharType="begin"/>
      </w:r>
      <w:r>
        <w:instrText xml:space="preserve"> PAGEREF _Toc25029062 \h </w:instrText>
      </w:r>
      <w:r>
        <w:fldChar w:fldCharType="separate"/>
      </w:r>
      <w:r w:rsidR="00B87D23">
        <w:t>8</w:t>
      </w:r>
      <w:r>
        <w:fldChar w:fldCharType="end"/>
      </w:r>
    </w:p>
    <w:p w:rsidR="00C337CD" w:rsidRDefault="00C337CD" w:rsidP="00C337CD">
      <w:pPr>
        <w:pStyle w:val="T1"/>
        <w:rPr>
          <w:sz w:val="24"/>
          <w:szCs w:val="24"/>
          <w:lang w:val="en-US"/>
        </w:rPr>
      </w:pPr>
      <w:r>
        <w:t>4</w:t>
      </w:r>
      <w:r>
        <w:tab/>
        <w:t>Products considered in the present document</w:t>
      </w:r>
      <w:r>
        <w:tab/>
      </w:r>
      <w:r>
        <w:fldChar w:fldCharType="begin"/>
      </w:r>
      <w:r>
        <w:instrText xml:space="preserve"> PAGEREF _Toc25029063 \h </w:instrText>
      </w:r>
      <w:r>
        <w:fldChar w:fldCharType="separate"/>
      </w:r>
      <w:r w:rsidR="00B87D23">
        <w:t>8</w:t>
      </w:r>
      <w:r>
        <w:fldChar w:fldCharType="end"/>
      </w:r>
    </w:p>
    <w:p w:rsidR="00C337CD" w:rsidRDefault="00C337CD" w:rsidP="00C337CD">
      <w:pPr>
        <w:pStyle w:val="T2"/>
        <w:rPr>
          <w:sz w:val="24"/>
          <w:szCs w:val="24"/>
          <w:lang w:val="en-US"/>
        </w:rPr>
      </w:pPr>
      <w:r>
        <w:t>4.1</w:t>
      </w:r>
      <w:r>
        <w:tab/>
        <w:t>Relationship between individual components of a combined equipment</w:t>
      </w:r>
      <w:r>
        <w:tab/>
      </w:r>
      <w:r>
        <w:fldChar w:fldCharType="begin"/>
      </w:r>
      <w:r>
        <w:instrText xml:space="preserve"> PAGEREF _Toc25029064 \h </w:instrText>
      </w:r>
      <w:r>
        <w:fldChar w:fldCharType="separate"/>
      </w:r>
      <w:r w:rsidR="00B87D23">
        <w:t>8</w:t>
      </w:r>
      <w:r>
        <w:fldChar w:fldCharType="end"/>
      </w:r>
    </w:p>
    <w:p w:rsidR="00C337CD" w:rsidRDefault="00C337CD" w:rsidP="00C337CD">
      <w:pPr>
        <w:pStyle w:val="T3"/>
        <w:rPr>
          <w:sz w:val="24"/>
          <w:szCs w:val="24"/>
          <w:lang w:val="en-US"/>
        </w:rPr>
      </w:pPr>
      <w:r>
        <w:t>4.1.1</w:t>
      </w:r>
      <w:r>
        <w:tab/>
        <w:t>Scenario 1</w:t>
      </w:r>
      <w:r>
        <w:tab/>
      </w:r>
      <w:r>
        <w:fldChar w:fldCharType="begin"/>
      </w:r>
      <w:r>
        <w:instrText xml:space="preserve"> PAGEREF _Toc25029065 \h </w:instrText>
      </w:r>
      <w:r>
        <w:fldChar w:fldCharType="separate"/>
      </w:r>
      <w:r w:rsidR="00B87D23">
        <w:t>9</w:t>
      </w:r>
      <w:r>
        <w:fldChar w:fldCharType="end"/>
      </w:r>
    </w:p>
    <w:p w:rsidR="00C337CD" w:rsidRDefault="00C337CD" w:rsidP="00C337CD">
      <w:pPr>
        <w:pStyle w:val="T3"/>
        <w:rPr>
          <w:sz w:val="24"/>
          <w:szCs w:val="24"/>
          <w:lang w:val="en-US"/>
        </w:rPr>
      </w:pPr>
      <w:r>
        <w:t>4.1.2</w:t>
      </w:r>
      <w:r>
        <w:tab/>
        <w:t>Scenario 2</w:t>
      </w:r>
      <w:r>
        <w:tab/>
      </w:r>
      <w:r>
        <w:fldChar w:fldCharType="begin"/>
      </w:r>
      <w:r>
        <w:instrText xml:space="preserve"> PAGEREF _Toc25029066 \h </w:instrText>
      </w:r>
      <w:r>
        <w:fldChar w:fldCharType="separate"/>
      </w:r>
      <w:r w:rsidR="00B87D23">
        <w:t>9</w:t>
      </w:r>
      <w:r>
        <w:fldChar w:fldCharType="end"/>
      </w:r>
    </w:p>
    <w:p w:rsidR="00C337CD" w:rsidRDefault="00C337CD" w:rsidP="00C337CD">
      <w:pPr>
        <w:pStyle w:val="T3"/>
        <w:rPr>
          <w:sz w:val="24"/>
          <w:szCs w:val="24"/>
          <w:lang w:val="en-US"/>
        </w:rPr>
      </w:pPr>
      <w:r>
        <w:t>4.1.3</w:t>
      </w:r>
      <w:r>
        <w:tab/>
        <w:t>Scenario 3</w:t>
      </w:r>
      <w:r>
        <w:tab/>
      </w:r>
      <w:r>
        <w:fldChar w:fldCharType="begin"/>
      </w:r>
      <w:r>
        <w:instrText xml:space="preserve"> PAGEREF _Toc25029067 \h </w:instrText>
      </w:r>
      <w:r>
        <w:fldChar w:fldCharType="separate"/>
      </w:r>
      <w:r w:rsidR="00B87D23">
        <w:t>10</w:t>
      </w:r>
      <w:r>
        <w:fldChar w:fldCharType="end"/>
      </w:r>
    </w:p>
    <w:p w:rsidR="00C337CD" w:rsidRDefault="00C337CD" w:rsidP="00C337CD">
      <w:pPr>
        <w:pStyle w:val="T3"/>
        <w:rPr>
          <w:sz w:val="24"/>
          <w:szCs w:val="24"/>
          <w:lang w:val="en-US"/>
        </w:rPr>
      </w:pPr>
      <w:r>
        <w:t>4.1.4</w:t>
      </w:r>
      <w:r>
        <w:tab/>
        <w:t>Scenario 4</w:t>
      </w:r>
      <w:r>
        <w:tab/>
      </w:r>
      <w:r>
        <w:fldChar w:fldCharType="begin"/>
      </w:r>
      <w:r>
        <w:instrText xml:space="preserve"> PAGEREF _Toc25029068 \h </w:instrText>
      </w:r>
      <w:r>
        <w:fldChar w:fldCharType="separate"/>
      </w:r>
      <w:r w:rsidR="00B87D23">
        <w:t>10</w:t>
      </w:r>
      <w:r>
        <w:fldChar w:fldCharType="end"/>
      </w:r>
    </w:p>
    <w:p w:rsidR="00C337CD" w:rsidRDefault="00C337CD" w:rsidP="00C337CD">
      <w:pPr>
        <w:pStyle w:val="T3"/>
        <w:rPr>
          <w:sz w:val="24"/>
          <w:szCs w:val="24"/>
          <w:lang w:val="en-US"/>
        </w:rPr>
      </w:pPr>
      <w:r>
        <w:t>4.1.5</w:t>
      </w:r>
      <w:r>
        <w:tab/>
        <w:t>Scenario 5</w:t>
      </w:r>
      <w:r>
        <w:tab/>
      </w:r>
      <w:r>
        <w:fldChar w:fldCharType="begin"/>
      </w:r>
      <w:r>
        <w:instrText xml:space="preserve"> PAGEREF _Toc25029069 \h </w:instrText>
      </w:r>
      <w:r>
        <w:fldChar w:fldCharType="separate"/>
      </w:r>
      <w:r w:rsidR="00B87D23">
        <w:t>10</w:t>
      </w:r>
      <w:r>
        <w:fldChar w:fldCharType="end"/>
      </w:r>
    </w:p>
    <w:p w:rsidR="00C337CD" w:rsidRDefault="00C337CD" w:rsidP="00C337CD">
      <w:pPr>
        <w:pStyle w:val="T3"/>
        <w:rPr>
          <w:sz w:val="24"/>
          <w:szCs w:val="24"/>
          <w:lang w:val="en-US"/>
        </w:rPr>
      </w:pPr>
      <w:r>
        <w:t>4.1.6</w:t>
      </w:r>
      <w:r>
        <w:tab/>
        <w:t>Scenario 6</w:t>
      </w:r>
      <w:r>
        <w:tab/>
      </w:r>
      <w:r>
        <w:fldChar w:fldCharType="begin"/>
      </w:r>
      <w:r>
        <w:instrText xml:space="preserve"> PAGEREF _Toc25029070 \h </w:instrText>
      </w:r>
      <w:r>
        <w:fldChar w:fldCharType="separate"/>
      </w:r>
      <w:r w:rsidR="00B87D23">
        <w:t>11</w:t>
      </w:r>
      <w:r>
        <w:fldChar w:fldCharType="end"/>
      </w:r>
    </w:p>
    <w:p w:rsidR="00C337CD" w:rsidRDefault="00C337CD" w:rsidP="00C337CD">
      <w:pPr>
        <w:pStyle w:val="T3"/>
        <w:rPr>
          <w:sz w:val="24"/>
          <w:szCs w:val="24"/>
          <w:lang w:val="en-US"/>
        </w:rPr>
      </w:pPr>
      <w:r>
        <w:t>4.1.7</w:t>
      </w:r>
      <w:r>
        <w:tab/>
        <w:t>Scenario 7</w:t>
      </w:r>
      <w:r>
        <w:tab/>
      </w:r>
      <w:r>
        <w:fldChar w:fldCharType="begin"/>
      </w:r>
      <w:r>
        <w:instrText xml:space="preserve"> PAGEREF _Toc25029071 \h </w:instrText>
      </w:r>
      <w:r>
        <w:fldChar w:fldCharType="separate"/>
      </w:r>
      <w:r w:rsidR="00B87D23">
        <w:t>11</w:t>
      </w:r>
      <w:r>
        <w:fldChar w:fldCharType="end"/>
      </w:r>
    </w:p>
    <w:p w:rsidR="00C337CD" w:rsidRDefault="00C337CD" w:rsidP="00C337CD">
      <w:pPr>
        <w:pStyle w:val="T1"/>
        <w:rPr>
          <w:sz w:val="24"/>
          <w:szCs w:val="24"/>
          <w:lang w:val="en-US"/>
        </w:rPr>
      </w:pPr>
      <w:r>
        <w:t>5</w:t>
      </w:r>
      <w:r>
        <w:tab/>
        <w:t>Application of harmonized standards to combined equipment</w:t>
      </w:r>
      <w:r>
        <w:tab/>
      </w:r>
      <w:r>
        <w:fldChar w:fldCharType="begin"/>
      </w:r>
      <w:r>
        <w:instrText xml:space="preserve"> PAGEREF _Toc25029072 \h </w:instrText>
      </w:r>
      <w:r>
        <w:fldChar w:fldCharType="separate"/>
      </w:r>
      <w:r w:rsidR="00B87D23">
        <w:t>11</w:t>
      </w:r>
      <w:r>
        <w:fldChar w:fldCharType="end"/>
      </w:r>
    </w:p>
    <w:p w:rsidR="00C337CD" w:rsidRDefault="00C337CD" w:rsidP="00C337CD">
      <w:pPr>
        <w:pStyle w:val="T2"/>
        <w:rPr>
          <w:sz w:val="24"/>
          <w:szCs w:val="24"/>
          <w:lang w:val="en-US"/>
        </w:rPr>
      </w:pPr>
      <w:r>
        <w:t>5.1</w:t>
      </w:r>
      <w:r>
        <w:tab/>
        <w:t>Functional dependencies</w:t>
      </w:r>
      <w:r>
        <w:tab/>
      </w:r>
      <w:r>
        <w:fldChar w:fldCharType="begin"/>
      </w:r>
      <w:r>
        <w:instrText xml:space="preserve"> PAGEREF _Toc25029073 \h </w:instrText>
      </w:r>
      <w:r>
        <w:fldChar w:fldCharType="separate"/>
      </w:r>
      <w:r w:rsidR="00B87D23">
        <w:t>11</w:t>
      </w:r>
      <w:r>
        <w:fldChar w:fldCharType="end"/>
      </w:r>
    </w:p>
    <w:p w:rsidR="00C337CD" w:rsidRDefault="00C337CD" w:rsidP="00C337CD">
      <w:pPr>
        <w:pStyle w:val="T1"/>
        <w:rPr>
          <w:sz w:val="24"/>
          <w:szCs w:val="24"/>
          <w:lang w:val="en-US"/>
        </w:rPr>
      </w:pPr>
      <w:r>
        <w:t>6</w:t>
      </w:r>
      <w:r>
        <w:tab/>
        <w:t>Product combinations considered in the present document</w:t>
      </w:r>
      <w:r>
        <w:tab/>
      </w:r>
      <w:r>
        <w:fldChar w:fldCharType="begin"/>
      </w:r>
      <w:r>
        <w:instrText xml:space="preserve"> PAGEREF _Toc25029074 \h </w:instrText>
      </w:r>
      <w:r>
        <w:fldChar w:fldCharType="separate"/>
      </w:r>
      <w:r w:rsidR="00B87D23">
        <w:t>12</w:t>
      </w:r>
      <w:r>
        <w:fldChar w:fldCharType="end"/>
      </w:r>
    </w:p>
    <w:p w:rsidR="00C337CD" w:rsidRDefault="00C337CD" w:rsidP="00C337CD">
      <w:pPr>
        <w:pStyle w:val="T2"/>
        <w:rPr>
          <w:sz w:val="24"/>
          <w:szCs w:val="24"/>
          <w:lang w:val="en-US"/>
        </w:rPr>
      </w:pPr>
      <w:r>
        <w:t>6.1</w:t>
      </w:r>
      <w:r>
        <w:tab/>
        <w:t>Non-radio products that may accept a plug-in radio module with an integral antenna</w:t>
      </w:r>
      <w:r>
        <w:tab/>
      </w:r>
      <w:r>
        <w:fldChar w:fldCharType="begin"/>
      </w:r>
      <w:r>
        <w:instrText xml:space="preserve"> PAGEREF _Toc25029075 \h </w:instrText>
      </w:r>
      <w:r>
        <w:fldChar w:fldCharType="separate"/>
      </w:r>
      <w:r w:rsidR="00B87D23">
        <w:t>12</w:t>
      </w:r>
      <w:r>
        <w:fldChar w:fldCharType="end"/>
      </w:r>
    </w:p>
    <w:p w:rsidR="00C337CD" w:rsidRDefault="00C337CD" w:rsidP="00C337CD">
      <w:pPr>
        <w:pStyle w:val="T2"/>
        <w:rPr>
          <w:sz w:val="24"/>
          <w:szCs w:val="24"/>
          <w:lang w:val="en-US"/>
        </w:rPr>
      </w:pPr>
      <w:r>
        <w:t>6.2</w:t>
      </w:r>
      <w:r>
        <w:tab/>
        <w:t>Non-radio products that may accept a plug-in radio module without an integral antenna</w:t>
      </w:r>
      <w:r>
        <w:tab/>
      </w:r>
      <w:r>
        <w:fldChar w:fldCharType="begin"/>
      </w:r>
      <w:r>
        <w:instrText xml:space="preserve"> PAGEREF _Toc25029076 \h </w:instrText>
      </w:r>
      <w:r>
        <w:fldChar w:fldCharType="separate"/>
      </w:r>
      <w:r w:rsidR="00B87D23">
        <w:t>12</w:t>
      </w:r>
      <w:r>
        <w:fldChar w:fldCharType="end"/>
      </w:r>
    </w:p>
    <w:p w:rsidR="00C337CD" w:rsidRDefault="00C337CD" w:rsidP="00C337CD">
      <w:pPr>
        <w:pStyle w:val="T2"/>
        <w:rPr>
          <w:sz w:val="24"/>
          <w:szCs w:val="24"/>
          <w:lang w:val="en-US"/>
        </w:rPr>
      </w:pPr>
      <w:r>
        <w:t>6.3</w:t>
      </w:r>
      <w:r>
        <w:tab/>
        <w:t>Non-radio products that contain an embedded radio functionality</w:t>
      </w:r>
      <w:r>
        <w:tab/>
      </w:r>
      <w:r>
        <w:fldChar w:fldCharType="begin"/>
      </w:r>
      <w:r>
        <w:instrText xml:space="preserve"> PAGEREF _Toc25029077 \h </w:instrText>
      </w:r>
      <w:r>
        <w:fldChar w:fldCharType="separate"/>
      </w:r>
      <w:r w:rsidR="00B87D23">
        <w:t>13</w:t>
      </w:r>
      <w:r>
        <w:fldChar w:fldCharType="end"/>
      </w:r>
    </w:p>
    <w:p w:rsidR="00C337CD" w:rsidRDefault="00C337CD" w:rsidP="00C337CD">
      <w:pPr>
        <w:pStyle w:val="T2"/>
        <w:rPr>
          <w:sz w:val="24"/>
          <w:szCs w:val="24"/>
          <w:lang w:val="en-US"/>
        </w:rPr>
      </w:pPr>
      <w:r>
        <w:t>6.4</w:t>
      </w:r>
      <w:r>
        <w:tab/>
        <w:t>Radio product with an integral antenna connected to a non-radio product</w:t>
      </w:r>
      <w:r>
        <w:tab/>
      </w:r>
      <w:r>
        <w:fldChar w:fldCharType="begin"/>
      </w:r>
      <w:r>
        <w:instrText xml:space="preserve"> PAGEREF _Toc25029078 \h </w:instrText>
      </w:r>
      <w:r>
        <w:fldChar w:fldCharType="separate"/>
      </w:r>
      <w:r w:rsidR="00B87D23">
        <w:t>13</w:t>
      </w:r>
      <w:r>
        <w:fldChar w:fldCharType="end"/>
      </w:r>
    </w:p>
    <w:p w:rsidR="00C337CD" w:rsidRDefault="00C337CD" w:rsidP="00C337CD">
      <w:pPr>
        <w:pStyle w:val="T2"/>
        <w:rPr>
          <w:sz w:val="24"/>
          <w:szCs w:val="24"/>
          <w:lang w:val="en-US"/>
        </w:rPr>
      </w:pPr>
      <w:r>
        <w:t>6.5</w:t>
      </w:r>
      <w:r>
        <w:tab/>
        <w:t>Radio product without an integral antenna connected to a non-radio product</w:t>
      </w:r>
      <w:r>
        <w:tab/>
      </w:r>
      <w:r>
        <w:fldChar w:fldCharType="begin"/>
      </w:r>
      <w:r>
        <w:instrText xml:space="preserve"> PAGEREF _Toc25029079 \h </w:instrText>
      </w:r>
      <w:r>
        <w:fldChar w:fldCharType="separate"/>
      </w:r>
      <w:r w:rsidR="00B87D23">
        <w:t>13</w:t>
      </w:r>
      <w:r>
        <w:fldChar w:fldCharType="end"/>
      </w:r>
    </w:p>
    <w:p w:rsidR="00C337CD" w:rsidRDefault="00C337CD" w:rsidP="00C337CD">
      <w:pPr>
        <w:pStyle w:val="T2"/>
        <w:rPr>
          <w:sz w:val="24"/>
          <w:szCs w:val="24"/>
          <w:lang w:val="en-US"/>
        </w:rPr>
      </w:pPr>
      <w:r>
        <w:t>6.6</w:t>
      </w:r>
      <w:r>
        <w:tab/>
        <w:t>Radio products that contain a non-radio function or plug-in module</w:t>
      </w:r>
      <w:r>
        <w:tab/>
      </w:r>
      <w:r>
        <w:fldChar w:fldCharType="begin"/>
      </w:r>
      <w:r>
        <w:instrText xml:space="preserve"> PAGEREF _Toc25029080 \h </w:instrText>
      </w:r>
      <w:r>
        <w:fldChar w:fldCharType="separate"/>
      </w:r>
      <w:r w:rsidR="00B87D23">
        <w:t>14</w:t>
      </w:r>
      <w:r>
        <w:fldChar w:fldCharType="end"/>
      </w:r>
    </w:p>
    <w:p w:rsidR="00C337CD" w:rsidRDefault="00C337CD" w:rsidP="00C337CD">
      <w:pPr>
        <w:pStyle w:val="T2"/>
        <w:rPr>
          <w:sz w:val="24"/>
          <w:szCs w:val="24"/>
          <w:lang w:val="en-US"/>
        </w:rPr>
      </w:pPr>
      <w:r>
        <w:t>6.7</w:t>
      </w:r>
      <w:r>
        <w:tab/>
        <w:t>Multi-radio equipment</w:t>
      </w:r>
      <w:r>
        <w:tab/>
      </w:r>
      <w:r>
        <w:fldChar w:fldCharType="begin"/>
      </w:r>
      <w:r>
        <w:instrText xml:space="preserve"> PAGEREF _Toc25029081 \h </w:instrText>
      </w:r>
      <w:r>
        <w:fldChar w:fldCharType="separate"/>
      </w:r>
      <w:r w:rsidR="00B87D23">
        <w:t>14</w:t>
      </w:r>
      <w:r>
        <w:fldChar w:fldCharType="end"/>
      </w:r>
    </w:p>
    <w:p w:rsidR="00C337CD" w:rsidRDefault="00C337CD" w:rsidP="00C337CD">
      <w:pPr>
        <w:pStyle w:val="T3"/>
        <w:rPr>
          <w:sz w:val="24"/>
          <w:szCs w:val="24"/>
          <w:lang w:val="en-US"/>
        </w:rPr>
      </w:pPr>
      <w:r>
        <w:t>6.7.1</w:t>
      </w:r>
      <w:r>
        <w:tab/>
        <w:t>The spurious emissions from each radio can be identified</w:t>
      </w:r>
      <w:r>
        <w:tab/>
      </w:r>
      <w:r>
        <w:fldChar w:fldCharType="begin"/>
      </w:r>
      <w:r>
        <w:instrText xml:space="preserve"> PAGEREF _Toc25029082 \h </w:instrText>
      </w:r>
      <w:r>
        <w:fldChar w:fldCharType="separate"/>
      </w:r>
      <w:r w:rsidR="00B87D23">
        <w:t>14</w:t>
      </w:r>
      <w:r>
        <w:fldChar w:fldCharType="end"/>
      </w:r>
    </w:p>
    <w:p w:rsidR="00C337CD" w:rsidRDefault="00C337CD" w:rsidP="00C337CD">
      <w:pPr>
        <w:pStyle w:val="T3"/>
        <w:rPr>
          <w:sz w:val="24"/>
          <w:szCs w:val="24"/>
          <w:lang w:val="en-US"/>
        </w:rPr>
      </w:pPr>
      <w:r>
        <w:t>6.7.2</w:t>
      </w:r>
      <w:r>
        <w:tab/>
        <w:t>The spurious emissions from each radio cannot be identified</w:t>
      </w:r>
      <w:r>
        <w:tab/>
      </w:r>
      <w:r>
        <w:fldChar w:fldCharType="begin"/>
      </w:r>
      <w:r>
        <w:instrText xml:space="preserve"> PAGEREF _Toc25029083 \h </w:instrText>
      </w:r>
      <w:r>
        <w:fldChar w:fldCharType="separate"/>
      </w:r>
      <w:r w:rsidR="00B87D23">
        <w:t>14</w:t>
      </w:r>
      <w:r>
        <w:fldChar w:fldCharType="end"/>
      </w:r>
    </w:p>
    <w:p w:rsidR="00C337CD" w:rsidRDefault="00C337CD" w:rsidP="00C337CD">
      <w:pPr>
        <w:pStyle w:val="T1"/>
        <w:rPr>
          <w:sz w:val="24"/>
          <w:szCs w:val="24"/>
          <w:lang w:val="en-US"/>
        </w:rPr>
      </w:pPr>
      <w:r>
        <w:t>7</w:t>
      </w:r>
      <w:r>
        <w:tab/>
        <w:t>Harmonized radio product standards</w:t>
      </w:r>
      <w:r>
        <w:tab/>
      </w:r>
      <w:r>
        <w:fldChar w:fldCharType="begin"/>
      </w:r>
      <w:r>
        <w:instrText xml:space="preserve"> PAGEREF _Toc25029084 \h </w:instrText>
      </w:r>
      <w:r>
        <w:fldChar w:fldCharType="separate"/>
      </w:r>
      <w:r w:rsidR="00B87D23">
        <w:t>14</w:t>
      </w:r>
      <w:r>
        <w:fldChar w:fldCharType="end"/>
      </w:r>
    </w:p>
    <w:p w:rsidR="00C337CD" w:rsidRDefault="00C337CD" w:rsidP="00C337CD">
      <w:pPr>
        <w:pStyle w:val="T9"/>
        <w:rPr>
          <w:sz w:val="24"/>
          <w:szCs w:val="24"/>
          <w:lang w:val="en-US"/>
        </w:rPr>
      </w:pPr>
      <w:r>
        <w:t>Annex A:</w:t>
      </w:r>
      <w:r>
        <w:tab/>
        <w:t>Examples of various type of combined equipment</w:t>
      </w:r>
      <w:r>
        <w:tab/>
      </w:r>
      <w:r>
        <w:fldChar w:fldCharType="begin"/>
      </w:r>
      <w:r>
        <w:instrText xml:space="preserve"> PAGEREF _Toc25029085 \h </w:instrText>
      </w:r>
      <w:r>
        <w:fldChar w:fldCharType="separate"/>
      </w:r>
      <w:r w:rsidR="00B87D23">
        <w:t>15</w:t>
      </w:r>
      <w:r>
        <w:fldChar w:fldCharType="end"/>
      </w:r>
    </w:p>
    <w:p w:rsidR="00C337CD" w:rsidRDefault="00C337CD" w:rsidP="00C337CD">
      <w:pPr>
        <w:pStyle w:val="T1"/>
        <w:rPr>
          <w:sz w:val="24"/>
          <w:szCs w:val="24"/>
          <w:lang w:val="en-US"/>
        </w:rPr>
      </w:pPr>
      <w:r>
        <w:t>A.1</w:t>
      </w:r>
      <w:r>
        <w:tab/>
        <w:t>Examples scenario 1 products</w:t>
      </w:r>
      <w:r>
        <w:tab/>
      </w:r>
      <w:r>
        <w:fldChar w:fldCharType="begin"/>
      </w:r>
      <w:r>
        <w:instrText xml:space="preserve"> PAGEREF _Toc25029086 \h </w:instrText>
      </w:r>
      <w:r>
        <w:fldChar w:fldCharType="separate"/>
      </w:r>
      <w:r w:rsidR="00B87D23">
        <w:t>15</w:t>
      </w:r>
      <w:r>
        <w:fldChar w:fldCharType="end"/>
      </w:r>
    </w:p>
    <w:p w:rsidR="00C337CD" w:rsidRDefault="00C337CD" w:rsidP="00C337CD">
      <w:pPr>
        <w:pStyle w:val="T1"/>
        <w:rPr>
          <w:sz w:val="24"/>
          <w:szCs w:val="24"/>
          <w:lang w:val="en-US"/>
        </w:rPr>
      </w:pPr>
      <w:r>
        <w:t>A.2</w:t>
      </w:r>
      <w:r>
        <w:tab/>
        <w:t>Examples scenario 2 products</w:t>
      </w:r>
      <w:r>
        <w:tab/>
      </w:r>
      <w:r>
        <w:fldChar w:fldCharType="begin"/>
      </w:r>
      <w:r>
        <w:instrText xml:space="preserve"> PAGEREF _Toc25029087 \h </w:instrText>
      </w:r>
      <w:r>
        <w:fldChar w:fldCharType="separate"/>
      </w:r>
      <w:r w:rsidR="00B87D23">
        <w:t>15</w:t>
      </w:r>
      <w:r>
        <w:fldChar w:fldCharType="end"/>
      </w:r>
    </w:p>
    <w:p w:rsidR="00C337CD" w:rsidRDefault="00C337CD" w:rsidP="00C337CD">
      <w:pPr>
        <w:pStyle w:val="T1"/>
        <w:rPr>
          <w:sz w:val="24"/>
          <w:szCs w:val="24"/>
          <w:lang w:val="en-US"/>
        </w:rPr>
      </w:pPr>
      <w:r>
        <w:t>A.3</w:t>
      </w:r>
      <w:r>
        <w:tab/>
        <w:t>Examples scenario 3 products</w:t>
      </w:r>
      <w:r>
        <w:tab/>
      </w:r>
      <w:r>
        <w:fldChar w:fldCharType="begin"/>
      </w:r>
      <w:r>
        <w:instrText xml:space="preserve"> PAGEREF _Toc25029088 \h </w:instrText>
      </w:r>
      <w:r>
        <w:fldChar w:fldCharType="separate"/>
      </w:r>
      <w:r w:rsidR="00B87D23">
        <w:t>15</w:t>
      </w:r>
      <w:r>
        <w:fldChar w:fldCharType="end"/>
      </w:r>
    </w:p>
    <w:p w:rsidR="00C337CD" w:rsidRDefault="00C337CD" w:rsidP="00C337CD">
      <w:pPr>
        <w:pStyle w:val="T1"/>
        <w:rPr>
          <w:sz w:val="24"/>
          <w:szCs w:val="24"/>
          <w:lang w:val="en-US"/>
        </w:rPr>
      </w:pPr>
      <w:r>
        <w:t>A.4</w:t>
      </w:r>
      <w:r>
        <w:tab/>
        <w:t>Examples scenario 4 products</w:t>
      </w:r>
      <w:r>
        <w:tab/>
      </w:r>
      <w:r>
        <w:fldChar w:fldCharType="begin"/>
      </w:r>
      <w:r>
        <w:instrText xml:space="preserve"> PAGEREF _Toc25029089 \h </w:instrText>
      </w:r>
      <w:r>
        <w:fldChar w:fldCharType="separate"/>
      </w:r>
      <w:r w:rsidR="00B87D23">
        <w:t>15</w:t>
      </w:r>
      <w:r>
        <w:fldChar w:fldCharType="end"/>
      </w:r>
    </w:p>
    <w:p w:rsidR="00C337CD" w:rsidRDefault="00C337CD" w:rsidP="00C337CD">
      <w:pPr>
        <w:pStyle w:val="T1"/>
        <w:rPr>
          <w:sz w:val="24"/>
          <w:szCs w:val="24"/>
          <w:lang w:val="en-US"/>
        </w:rPr>
      </w:pPr>
      <w:r>
        <w:t>A.5</w:t>
      </w:r>
      <w:r>
        <w:tab/>
        <w:t>Examples scenario 5 products</w:t>
      </w:r>
      <w:r>
        <w:tab/>
      </w:r>
      <w:r>
        <w:fldChar w:fldCharType="begin"/>
      </w:r>
      <w:r>
        <w:instrText xml:space="preserve"> PAGEREF _Toc25029090 \h </w:instrText>
      </w:r>
      <w:r>
        <w:fldChar w:fldCharType="separate"/>
      </w:r>
      <w:r w:rsidR="00B87D23">
        <w:t>15</w:t>
      </w:r>
      <w:r>
        <w:fldChar w:fldCharType="end"/>
      </w:r>
    </w:p>
    <w:p w:rsidR="00C337CD" w:rsidRDefault="00C337CD" w:rsidP="00C337CD">
      <w:pPr>
        <w:pStyle w:val="T1"/>
        <w:rPr>
          <w:sz w:val="24"/>
          <w:szCs w:val="24"/>
          <w:lang w:val="en-US"/>
        </w:rPr>
      </w:pPr>
      <w:r>
        <w:t>A.6</w:t>
      </w:r>
      <w:r>
        <w:tab/>
        <w:t>Examples scenario 6 products</w:t>
      </w:r>
      <w:r>
        <w:tab/>
      </w:r>
      <w:r>
        <w:fldChar w:fldCharType="begin"/>
      </w:r>
      <w:r>
        <w:instrText xml:space="preserve"> PAGEREF _Toc25029091 \h </w:instrText>
      </w:r>
      <w:r>
        <w:fldChar w:fldCharType="separate"/>
      </w:r>
      <w:r w:rsidR="00B87D23">
        <w:t>15</w:t>
      </w:r>
      <w:r>
        <w:fldChar w:fldCharType="end"/>
      </w:r>
    </w:p>
    <w:p w:rsidR="00C337CD" w:rsidRDefault="00C337CD" w:rsidP="00C337CD">
      <w:pPr>
        <w:pStyle w:val="T1"/>
        <w:rPr>
          <w:sz w:val="24"/>
          <w:szCs w:val="24"/>
          <w:lang w:val="en-US"/>
        </w:rPr>
      </w:pPr>
      <w:r>
        <w:t>A.7</w:t>
      </w:r>
      <w:r>
        <w:tab/>
        <w:t>Examples scenario 7 products</w:t>
      </w:r>
      <w:r>
        <w:tab/>
      </w:r>
      <w:r>
        <w:fldChar w:fldCharType="begin"/>
      </w:r>
      <w:r>
        <w:instrText xml:space="preserve"> PAGEREF _Toc25029092 \h </w:instrText>
      </w:r>
      <w:r>
        <w:fldChar w:fldCharType="separate"/>
      </w:r>
      <w:r w:rsidR="00B87D23">
        <w:t>16</w:t>
      </w:r>
      <w:r>
        <w:fldChar w:fldCharType="end"/>
      </w:r>
    </w:p>
    <w:p w:rsidR="00C337CD" w:rsidRDefault="00C337CD" w:rsidP="00C337CD">
      <w:pPr>
        <w:pStyle w:val="T1"/>
        <w:rPr>
          <w:sz w:val="24"/>
          <w:szCs w:val="24"/>
          <w:lang w:val="en-US"/>
        </w:rPr>
      </w:pPr>
      <w:r>
        <w:t>A.8</w:t>
      </w:r>
      <w:r>
        <w:tab/>
        <w:t>Examples of multi-radio equipment</w:t>
      </w:r>
      <w:r>
        <w:tab/>
      </w:r>
      <w:r>
        <w:fldChar w:fldCharType="begin"/>
      </w:r>
      <w:r>
        <w:instrText xml:space="preserve"> PAGEREF _Toc25029093 \h </w:instrText>
      </w:r>
      <w:r>
        <w:fldChar w:fldCharType="separate"/>
      </w:r>
      <w:r w:rsidR="00B87D23">
        <w:t>16</w:t>
      </w:r>
      <w:r>
        <w:fldChar w:fldCharType="end"/>
      </w:r>
    </w:p>
    <w:p w:rsidR="00C337CD" w:rsidRDefault="00C337CD" w:rsidP="00C337CD">
      <w:pPr>
        <w:pStyle w:val="T1"/>
        <w:rPr>
          <w:sz w:val="24"/>
          <w:szCs w:val="24"/>
          <w:lang w:val="en-US"/>
        </w:rPr>
      </w:pPr>
      <w:r>
        <w:t>History</w:t>
      </w:r>
      <w:r>
        <w:tab/>
      </w:r>
      <w:r>
        <w:fldChar w:fldCharType="begin"/>
      </w:r>
      <w:r>
        <w:instrText xml:space="preserve"> PAGEREF _Toc25029094 \h </w:instrText>
      </w:r>
      <w:r>
        <w:fldChar w:fldCharType="separate"/>
      </w:r>
      <w:r w:rsidR="00B87D23">
        <w:t>17</w:t>
      </w:r>
      <w:r>
        <w:fldChar w:fldCharType="end"/>
      </w:r>
    </w:p>
    <w:p w:rsidR="002B01EC" w:rsidRPr="002271FB" w:rsidRDefault="002B01EC">
      <w:r w:rsidRPr="002271FB">
        <w:rPr>
          <w:sz w:val="22"/>
        </w:rPr>
        <w:fldChar w:fldCharType="end"/>
      </w:r>
    </w:p>
    <w:p w:rsidR="002B01EC" w:rsidRPr="002271FB" w:rsidRDefault="002B01EC">
      <w:pPr>
        <w:pStyle w:val="Balk1"/>
      </w:pPr>
      <w:r w:rsidRPr="002271FB">
        <w:br w:type="page"/>
      </w:r>
      <w:bookmarkStart w:id="1" w:name="_Toc25029055"/>
      <w:r w:rsidRPr="002271FB">
        <w:lastRenderedPageBreak/>
        <w:t>Intellectual Property Rights</w:t>
      </w:r>
      <w:bookmarkEnd w:id="1"/>
    </w:p>
    <w:p w:rsidR="00D96E2A" w:rsidRPr="00E47F9A" w:rsidRDefault="00D96E2A" w:rsidP="00D96E2A">
      <w:r w:rsidRPr="00E47F9A">
        <w:t xml:space="preserve">IPRs essential or potentially essential to the present document may have been declared to ETSI. The information pertaining to these essential IPRs, if any, is publicly available for </w:t>
      </w:r>
      <w:r w:rsidRPr="00E47F9A">
        <w:rPr>
          <w:b/>
        </w:rPr>
        <w:t>ETSI members and non-members</w:t>
      </w:r>
      <w:r w:rsidRPr="00E47F9A">
        <w:t xml:space="preserve">, and can be found in ETSI SR 000 314: </w:t>
      </w:r>
      <w:r w:rsidRPr="00E47F9A">
        <w:rPr>
          <w:i/>
        </w:rPr>
        <w:t>"Intellectual Property Rights (IPRs); Essential, or potentially Essential, IPRs notified to ETSI in respect of ETSI standards"</w:t>
      </w:r>
      <w:r w:rsidRPr="00E47F9A">
        <w:t>, which is available from the ETSI Secretariat. Latest updates are available on the ETSI Web server (</w:t>
      </w:r>
      <w:hyperlink r:id="rId11" w:history="1">
        <w:r w:rsidRPr="00DF57B2">
          <w:rPr>
            <w:rStyle w:val="Kpr"/>
          </w:rPr>
          <w:t>http://webapp.etsi.org/IPR/home.asp</w:t>
        </w:r>
      </w:hyperlink>
      <w:r w:rsidRPr="00E47F9A">
        <w:t>).</w:t>
      </w:r>
    </w:p>
    <w:p w:rsidR="002B01EC" w:rsidRPr="002271FB" w:rsidRDefault="002B01EC">
      <w:r w:rsidRPr="002271F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2B01EC" w:rsidRPr="002271FB" w:rsidRDefault="002B01EC">
      <w:pPr>
        <w:pStyle w:val="Balk1"/>
      </w:pPr>
      <w:bookmarkStart w:id="2" w:name="_Toc25029056"/>
      <w:r w:rsidRPr="002271FB">
        <w:t>Foreword</w:t>
      </w:r>
      <w:bookmarkEnd w:id="2"/>
    </w:p>
    <w:p w:rsidR="00D96E2A" w:rsidRPr="00E47F9A" w:rsidRDefault="00D96E2A" w:rsidP="00D96E2A">
      <w:pPr>
        <w:keepNext/>
      </w:pPr>
      <w:r w:rsidRPr="00E47F9A">
        <w:t xml:space="preserve">This </w:t>
      </w:r>
      <w:r>
        <w:t>Technical Report (TR)</w:t>
      </w:r>
      <w:r w:rsidRPr="00E47F9A">
        <w:t xml:space="preserve"> has been produced by </w:t>
      </w:r>
      <w:r>
        <w:t>ETSI Technical Committee Electromagnetic compatibility and Radio spectrum Matters (ERM)</w:t>
      </w:r>
      <w:r w:rsidRPr="00E47F9A">
        <w:t>.</w:t>
      </w:r>
    </w:p>
    <w:p w:rsidR="002B01EC" w:rsidRPr="002271FB" w:rsidRDefault="002B01EC">
      <w:pPr>
        <w:pStyle w:val="Balk1"/>
      </w:pPr>
      <w:bookmarkStart w:id="3" w:name="_Toc25029057"/>
      <w:r w:rsidRPr="002271FB">
        <w:t>Introduction</w:t>
      </w:r>
      <w:bookmarkEnd w:id="3"/>
    </w:p>
    <w:p w:rsidR="002B01EC" w:rsidRPr="002271FB" w:rsidRDefault="002B01EC">
      <w:r w:rsidRPr="002271FB">
        <w:t xml:space="preserve">The following text is taken from the </w:t>
      </w:r>
      <w:r w:rsidR="00097762">
        <w:t>h</w:t>
      </w:r>
      <w:r w:rsidRPr="002271FB">
        <w:t xml:space="preserve">armonized </w:t>
      </w:r>
      <w:r w:rsidR="00097762">
        <w:t>s</w:t>
      </w:r>
      <w:r w:rsidRPr="002271FB">
        <w:t xml:space="preserve">tandard </w:t>
      </w:r>
      <w:r w:rsidR="00097762">
        <w:t>p</w:t>
      </w:r>
      <w:r w:rsidRPr="002271FB">
        <w:t xml:space="preserve">ro-forma and is included here to provide the reader with an overview of Harmonized standards and their relationship with the </w:t>
      </w:r>
      <w:r w:rsidR="00DF57B2" w:rsidRPr="00DF57B2">
        <w:t>R&amp;TTE</w:t>
      </w:r>
      <w:r w:rsidRPr="00DF57B2">
        <w:t xml:space="preserve"> Directive 1999/5/EC</w:t>
      </w:r>
      <w:r w:rsidR="00567E09" w:rsidRPr="00DF57B2">
        <w:t xml:space="preserve"> [</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w:t>
      </w:r>
    </w:p>
    <w:p w:rsidR="002B01EC" w:rsidRPr="002271FB" w:rsidRDefault="002B01EC">
      <w:r w:rsidRPr="002271FB">
        <w:t xml:space="preserve">Harmonized standards produced by ETSI for use under the </w:t>
      </w:r>
      <w:r w:rsidR="00DF57B2" w:rsidRPr="00DF57B2">
        <w:t>R&amp;TTE</w:t>
      </w:r>
      <w:r w:rsidRPr="00DF57B2">
        <w:t xml:space="preserve"> Directive</w:t>
      </w:r>
      <w:r w:rsidRPr="002271FB">
        <w:t xml:space="preserve"> are designed to fit in a modular structure to cover all radio and telecommunications terminal equipment under the </w:t>
      </w:r>
      <w:r w:rsidR="00DF57B2" w:rsidRPr="00DF57B2">
        <w:t>R&amp;TTE</w:t>
      </w:r>
      <w:r w:rsidRPr="00DF57B2">
        <w:t xml:space="preserve"> Directive</w:t>
      </w:r>
      <w:r w:rsidR="00567E09" w:rsidRPr="00DF57B2">
        <w:t xml:space="preserve"> [</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Each standard is a module in the structure. The modular structure is shown in figure 1.</w:t>
      </w:r>
    </w:p>
    <w:p w:rsidR="002B01EC" w:rsidRPr="002271FB" w:rsidRDefault="00056B21" w:rsidP="00567E09">
      <w:pPr>
        <w:pStyle w:val="FL"/>
      </w:pPr>
      <w:r>
        <w:object w:dxaOrig="7657" w:dyaOrig="1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561pt" o:ole="" fillcolor="window">
            <v:imagedata r:id="rId12" o:title=""/>
          </v:shape>
          <o:OLEObject Type="Embed" ProgID="Word.Picture.8" ShapeID="_x0000_i1026" DrawAspect="Content" ObjectID="_1545048503" r:id="rId13"/>
        </w:object>
      </w:r>
    </w:p>
    <w:p w:rsidR="002B01EC" w:rsidRPr="002271FB" w:rsidRDefault="002B01EC">
      <w:pPr>
        <w:pStyle w:val="TF"/>
      </w:pPr>
      <w:r w:rsidRPr="002271FB">
        <w:t xml:space="preserve">Figure 1: Modular structure for the various standards used under the </w:t>
      </w:r>
      <w:r w:rsidR="00DF57B2" w:rsidRPr="00DF57B2">
        <w:t>R&amp;TTE</w:t>
      </w:r>
      <w:r w:rsidRPr="00DF57B2">
        <w:t xml:space="preserve"> Directive</w:t>
      </w:r>
      <w:r w:rsidRPr="002271FB">
        <w:t xml:space="preserve"> </w:t>
      </w:r>
      <w:r w:rsidR="00567E09" w:rsidRPr="00DF57B2">
        <w:t>[</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p>
    <w:p w:rsidR="002B01EC" w:rsidRPr="002271FB" w:rsidRDefault="002B01EC">
      <w:pPr>
        <w:keepNext/>
        <w:keepLines/>
      </w:pPr>
      <w:r w:rsidRPr="002271FB">
        <w:t xml:space="preserve">The left hand edge of the figure 1 shows the different clauses of </w:t>
      </w:r>
      <w:r w:rsidR="00D439CC">
        <w:t>a</w:t>
      </w:r>
      <w:r w:rsidRPr="002271FB">
        <w:t xml:space="preserve">rticle 3 of the </w:t>
      </w:r>
      <w:r w:rsidR="00DF57B2" w:rsidRPr="00DF57B2">
        <w:t>R&amp;TTE</w:t>
      </w:r>
      <w:r w:rsidRPr="00DF57B2">
        <w:t xml:space="preserve"> Directive</w:t>
      </w:r>
      <w:r w:rsidR="00567E09" w:rsidRPr="00DF57B2">
        <w:t xml:space="preserve"> [</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w:t>
      </w:r>
    </w:p>
    <w:p w:rsidR="002B01EC" w:rsidRPr="002271FB" w:rsidRDefault="002B01EC">
      <w:r w:rsidRPr="002271FB">
        <w:t>For article 3.3 various horizontal boxes are shown. Dotted lines indicate that at the time of publication of the present document essential requirements in these areas have to be adopted by the Commission. If such essential requirements are adopted, and as far and as long as they are applicable, they will justify individual standards whose scope is likely to be specified by function or interface type.</w:t>
      </w:r>
    </w:p>
    <w:p w:rsidR="002B01EC" w:rsidRPr="002271FB" w:rsidRDefault="002B01EC">
      <w:r w:rsidRPr="002271FB">
        <w:t>The vertical boxes show the standards under article 3.2 for the use of the radio spectrum by radio equipment. The scopes of these standards are specified either by frequency (normally in the case where frequency bands are harmonized) or by radio equipment type.</w:t>
      </w:r>
    </w:p>
    <w:p w:rsidR="00056B21" w:rsidRDefault="00056B21" w:rsidP="00056B21">
      <w:r>
        <w:lastRenderedPageBreak/>
        <w:t xml:space="preserve">For article 3.1b the diagram shows EN 301 489, the multi-part product EMC standard for radio used under the EMC Directive </w:t>
      </w:r>
      <w:r w:rsidRPr="00DF57B2">
        <w:t>[</w:t>
      </w:r>
      <w:r w:rsidRPr="00DF57B2">
        <w:fldChar w:fldCharType="begin"/>
      </w:r>
      <w:r w:rsidRPr="00DF57B2">
        <w:instrText>REF REF_7323EEC</w:instrText>
      </w:r>
      <w:r w:rsidRPr="00DF57B2">
        <w:fldChar w:fldCharType="separate"/>
      </w:r>
      <w:r w:rsidR="00B87D23">
        <w:rPr>
          <w:noProof/>
        </w:rPr>
        <w:t>2</w:t>
      </w:r>
      <w:r w:rsidRPr="00DF57B2">
        <w:fldChar w:fldCharType="end"/>
      </w:r>
      <w:r w:rsidRPr="00DF57B2">
        <w:t>]</w:t>
      </w:r>
      <w:r>
        <w:t>.</w:t>
      </w:r>
    </w:p>
    <w:p w:rsidR="002B01EC" w:rsidRPr="002271FB" w:rsidRDefault="002B01EC">
      <w:r w:rsidRPr="002271FB">
        <w:t xml:space="preserve">For article 3.1a the diagram shows the existing safety standards currently used under the LV Directive </w:t>
      </w:r>
      <w:r w:rsidR="00567E09" w:rsidRPr="00DF57B2">
        <w:t>[</w:t>
      </w:r>
      <w:r w:rsidR="00567E09" w:rsidRPr="00DF57B2">
        <w:fldChar w:fldCharType="begin"/>
      </w:r>
      <w:r w:rsidR="00567E09" w:rsidRPr="00DF57B2">
        <w:instrText>REF REF_7323EEC</w:instrText>
      </w:r>
      <w:r w:rsidR="00567E09" w:rsidRPr="00DF57B2">
        <w:fldChar w:fldCharType="separate"/>
      </w:r>
      <w:r w:rsidR="00B87D23">
        <w:rPr>
          <w:noProof/>
        </w:rPr>
        <w:t>2</w:t>
      </w:r>
      <w:r w:rsidR="00567E09" w:rsidRPr="00DF57B2">
        <w:fldChar w:fldCharType="end"/>
      </w:r>
      <w:r w:rsidR="00567E09" w:rsidRPr="00DF57B2">
        <w:t>]</w:t>
      </w:r>
      <w:r w:rsidRPr="002271FB">
        <w:t xml:space="preserve"> and new standards covering human exposure to electromagnetic fields. New standards covering acoustic safety may also be required.</w:t>
      </w:r>
    </w:p>
    <w:p w:rsidR="002B01EC" w:rsidRPr="002271FB" w:rsidRDefault="002B01EC">
      <w:r w:rsidRPr="002271FB">
        <w:t xml:space="preserve">The bottom of the figure shows the relationship of the standards to radio equipment and telecommunications terminal equipment. A particular equipment may be radio equipment, telecommunications terminal equipment or both. A radio spectrum standard will apply if it is radio equipment. An article 3.3 standard will apply as well only if the relevant essential requirement under the </w:t>
      </w:r>
      <w:r w:rsidR="00DF57B2" w:rsidRPr="00DF57B2">
        <w:t>R&amp;TTE</w:t>
      </w:r>
      <w:r w:rsidRPr="00DF57B2">
        <w:t xml:space="preserve"> Directive</w:t>
      </w:r>
      <w:r w:rsidRPr="002271FB">
        <w:t xml:space="preserve"> </w:t>
      </w:r>
      <w:r w:rsidR="00567E09" w:rsidRPr="00DF57B2">
        <w:t>[</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is adopted by the Commission and if the equipment in question is covered by the scope of the corresponding standard. Thus, depending on the nature of the equipment, the essential requirements under the </w:t>
      </w:r>
      <w:r w:rsidR="00DF57B2" w:rsidRPr="00DF57B2">
        <w:t>R&amp;TTE</w:t>
      </w:r>
      <w:r w:rsidRPr="00DF57B2">
        <w:t xml:space="preserve"> Directive</w:t>
      </w:r>
      <w:r w:rsidRPr="002271FB">
        <w:t xml:space="preserve"> </w:t>
      </w:r>
      <w:r w:rsidR="00567E09" w:rsidRPr="00DF57B2">
        <w:t>[</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may be covered in a set of standards.</w:t>
      </w:r>
    </w:p>
    <w:p w:rsidR="002B01EC" w:rsidRPr="002271FB" w:rsidRDefault="002B01EC">
      <w:r w:rsidRPr="002271FB">
        <w:t>The modularity principle has been taken because:</w:t>
      </w:r>
    </w:p>
    <w:p w:rsidR="002B01EC" w:rsidRPr="002271FB" w:rsidRDefault="002B01EC" w:rsidP="00914030">
      <w:pPr>
        <w:pStyle w:val="B10"/>
      </w:pPr>
      <w:r w:rsidRPr="002271FB">
        <w:t>-</w:t>
      </w:r>
      <w:r w:rsidRPr="002271FB">
        <w:tab/>
        <w:t>it minimizes the number of standards needed. Because equipment may, in fact, have multiple interfaces and functions it is not practicable to produce a single standard for each possible combination of functions that may occur in an equipment;</w:t>
      </w:r>
    </w:p>
    <w:p w:rsidR="002B01EC" w:rsidRPr="002271FB" w:rsidRDefault="002B01EC" w:rsidP="00914030">
      <w:pPr>
        <w:pStyle w:val="B10"/>
      </w:pPr>
      <w:r w:rsidRPr="002271FB">
        <w:t>-</w:t>
      </w:r>
      <w:r w:rsidRPr="002271FB">
        <w:tab/>
        <w:t>it provides scope for standards to be added:</w:t>
      </w:r>
    </w:p>
    <w:p w:rsidR="002B01EC" w:rsidRPr="002271FB" w:rsidRDefault="002B01EC" w:rsidP="00914030">
      <w:pPr>
        <w:pStyle w:val="B2"/>
      </w:pPr>
      <w:r w:rsidRPr="002271FB">
        <w:t>under article 3.2 when new frequency bands are agreed</w:t>
      </w:r>
      <w:r w:rsidR="00C43848">
        <w:t>;</w:t>
      </w:r>
      <w:r w:rsidRPr="002271FB">
        <w:t xml:space="preserve"> or</w:t>
      </w:r>
    </w:p>
    <w:p w:rsidR="002B01EC" w:rsidRPr="002271FB" w:rsidRDefault="002B01EC" w:rsidP="00914030">
      <w:pPr>
        <w:pStyle w:val="B2"/>
      </w:pPr>
      <w:r w:rsidRPr="002271FB">
        <w:t>under article 3.3 should the Commission take the necessary decisions without requiring alteration of stand</w:t>
      </w:r>
      <w:r w:rsidR="00056B21">
        <w:t>ards that are already published.</w:t>
      </w:r>
    </w:p>
    <w:p w:rsidR="002B01EC" w:rsidRPr="002271FB" w:rsidRDefault="002B01EC">
      <w:pPr>
        <w:pStyle w:val="B10"/>
      </w:pPr>
      <w:r w:rsidRPr="002271FB">
        <w:t>-</w:t>
      </w:r>
      <w:r w:rsidRPr="002271FB">
        <w:tab/>
        <w:t>it clarifies, simplifies and promotes the usage of Harmonized Standards as the relevant means of conformity assessment.</w:t>
      </w:r>
    </w:p>
    <w:p w:rsidR="002B01EC" w:rsidRPr="002271FB" w:rsidRDefault="002B01EC" w:rsidP="00914030">
      <w:pPr>
        <w:pStyle w:val="Balk1"/>
      </w:pPr>
      <w:r w:rsidRPr="002271FB">
        <w:br w:type="page"/>
      </w:r>
      <w:bookmarkStart w:id="4" w:name="_Toc25029058"/>
      <w:r w:rsidR="00914030">
        <w:lastRenderedPageBreak/>
        <w:t>1</w:t>
      </w:r>
      <w:r w:rsidR="00914030">
        <w:tab/>
      </w:r>
      <w:r w:rsidRPr="002271FB">
        <w:t>Scope</w:t>
      </w:r>
      <w:bookmarkEnd w:id="4"/>
    </w:p>
    <w:p w:rsidR="002B01EC" w:rsidRPr="002271FB" w:rsidRDefault="002B01EC">
      <w:pPr>
        <w:textAlignment w:val="auto"/>
      </w:pPr>
      <w:r w:rsidRPr="002271FB">
        <w:t>The present document provides guidance in</w:t>
      </w:r>
      <w:r w:rsidR="00154B62">
        <w:t xml:space="preserve"> </w:t>
      </w:r>
      <w:r w:rsidRPr="002271FB">
        <w:t>resolving the technical difficulties with the application of harmonized</w:t>
      </w:r>
      <w:r w:rsidR="00154B62">
        <w:t xml:space="preserve"> </w:t>
      </w:r>
      <w:r w:rsidRPr="002271FB">
        <w:t xml:space="preserve">standards which are used to demonstrate compliance with the essential requirements for effective use of the radio frequency spectrum for combined equipment, which include a radio and/or a telecommunication function. Examples to be covered include combined equipment containing multiple radio technologies, radio in IT equipment, radio in domestic equipment etc. </w:t>
      </w:r>
    </w:p>
    <w:p w:rsidR="002B01EC" w:rsidRPr="002271FB" w:rsidRDefault="002B01EC">
      <w:r w:rsidRPr="002271FB">
        <w:t>The present document is intended to cover combined</w:t>
      </w:r>
      <w:r w:rsidR="00154B62">
        <w:t xml:space="preserve"> </w:t>
      </w:r>
      <w:r w:rsidRPr="002271FB">
        <w:t xml:space="preserve">equipment, which are subject to the provisions of article 3.2 of the </w:t>
      </w:r>
      <w:r w:rsidR="00DF57B2" w:rsidRPr="00DF57B2">
        <w:t>R&amp;TTE</w:t>
      </w:r>
      <w:r w:rsidRPr="00DF57B2">
        <w:t xml:space="preserve"> Directive</w:t>
      </w:r>
      <w:r w:rsidRPr="002271FB">
        <w:t xml:space="preserve">, as a result of this combination. </w:t>
      </w:r>
    </w:p>
    <w:p w:rsidR="002B01EC" w:rsidRPr="002271FB" w:rsidRDefault="002B01EC">
      <w:r w:rsidRPr="002271FB">
        <w:t>The purpose of the present document is:</w:t>
      </w:r>
    </w:p>
    <w:p w:rsidR="002B01EC" w:rsidRPr="002271FB" w:rsidRDefault="002B01EC" w:rsidP="00914030">
      <w:pPr>
        <w:pStyle w:val="B1"/>
      </w:pPr>
      <w:r w:rsidRPr="002271FB">
        <w:t>to provide guidance with the te</w:t>
      </w:r>
      <w:r w:rsidR="00056B21">
        <w:t>sting of this type of equipment;</w:t>
      </w:r>
    </w:p>
    <w:p w:rsidR="002B01EC" w:rsidRPr="002271FB" w:rsidRDefault="002B01EC" w:rsidP="00914030">
      <w:pPr>
        <w:pStyle w:val="B1"/>
      </w:pPr>
      <w:r w:rsidRPr="002271FB">
        <w:t>to eliminate dupl</w:t>
      </w:r>
      <w:r w:rsidR="00056B21">
        <w:t>icate testing wherever possible;</w:t>
      </w:r>
    </w:p>
    <w:p w:rsidR="002B01EC" w:rsidRPr="002271FB" w:rsidRDefault="002B01EC" w:rsidP="00914030">
      <w:pPr>
        <w:pStyle w:val="B1"/>
      </w:pPr>
      <w:r w:rsidRPr="002271FB">
        <w:t xml:space="preserve">to provide guidance for conformance assessment and market </w:t>
      </w:r>
      <w:r w:rsidR="00CE79C2" w:rsidRPr="002271FB">
        <w:t>surveillance</w:t>
      </w:r>
      <w:r w:rsidRPr="002271FB">
        <w:t>.</w:t>
      </w:r>
    </w:p>
    <w:p w:rsidR="002B01EC" w:rsidRPr="002271FB" w:rsidRDefault="00C83138">
      <w:r>
        <w:t>The present document</w:t>
      </w:r>
      <w:r w:rsidR="002B01EC" w:rsidRPr="002271FB">
        <w:t xml:space="preserve"> provides guidance on the application of harmonized </w:t>
      </w:r>
      <w:r w:rsidR="00DF57B2" w:rsidRPr="00DF57B2">
        <w:t>EMC</w:t>
      </w:r>
      <w:r w:rsidR="002B01EC" w:rsidRPr="002271FB">
        <w:t xml:space="preserve"> product standards for combined equipment under article 3.1(b) (</w:t>
      </w:r>
      <w:r w:rsidR="00DF57B2" w:rsidRPr="00DF57B2">
        <w:t>EMC</w:t>
      </w:r>
      <w:r w:rsidR="002B01EC" w:rsidRPr="002271FB">
        <w:t xml:space="preserve">) of the </w:t>
      </w:r>
      <w:r w:rsidR="00DF57B2" w:rsidRPr="00DF57B2">
        <w:t>R&amp;TTE</w:t>
      </w:r>
      <w:r w:rsidR="002B01EC" w:rsidRPr="002271FB">
        <w:t xml:space="preserve"> directive </w:t>
      </w:r>
      <w:r w:rsidR="002B01EC" w:rsidRPr="00DF57B2">
        <w:t>1999/5/EC</w:t>
      </w:r>
      <w:r w:rsidR="00567E09" w:rsidRPr="00DF57B2">
        <w:t xml:space="preserve"> [</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002B01EC" w:rsidRPr="002271FB">
        <w:t>.</w:t>
      </w:r>
    </w:p>
    <w:p w:rsidR="002B01EC" w:rsidRPr="002271FB" w:rsidRDefault="002B01EC">
      <w:r w:rsidRPr="002271FB">
        <w:t>The present document does not cover:</w:t>
      </w:r>
    </w:p>
    <w:p w:rsidR="002B01EC" w:rsidRPr="002271FB" w:rsidRDefault="002B01EC" w:rsidP="00914030">
      <w:pPr>
        <w:pStyle w:val="B1"/>
      </w:pPr>
      <w:r w:rsidRPr="002271FB">
        <w:t>single custom built products that are tailored t</w:t>
      </w:r>
      <w:r w:rsidR="00056B21">
        <w:t>o a specific customer quotation;</w:t>
      </w:r>
    </w:p>
    <w:p w:rsidR="002B01EC" w:rsidRPr="002271FB" w:rsidRDefault="002B01EC" w:rsidP="00914030">
      <w:pPr>
        <w:pStyle w:val="B1"/>
      </w:pPr>
      <w:r w:rsidRPr="002271FB">
        <w:t>products that operate independently if they are not contained within a single enclosure.</w:t>
      </w:r>
    </w:p>
    <w:p w:rsidR="002B01EC" w:rsidRPr="002271FB" w:rsidRDefault="002B01EC" w:rsidP="00914030">
      <w:pPr>
        <w:pStyle w:val="Balk1"/>
      </w:pPr>
      <w:bookmarkStart w:id="5" w:name="_Toc25029059"/>
      <w:r w:rsidRPr="002271FB">
        <w:t>2</w:t>
      </w:r>
      <w:r w:rsidRPr="002271FB">
        <w:tab/>
        <w:t>References</w:t>
      </w:r>
      <w:bookmarkEnd w:id="5"/>
    </w:p>
    <w:p w:rsidR="002B01EC" w:rsidRPr="002271FB" w:rsidRDefault="002B01EC">
      <w:r w:rsidRPr="002271FB">
        <w:t>For the purposes of this Technical Report (TR) the following references apply:</w:t>
      </w:r>
    </w:p>
    <w:p w:rsidR="002B01EC" w:rsidRPr="002271FB" w:rsidRDefault="00567E09" w:rsidP="00567E09">
      <w:pPr>
        <w:pStyle w:val="EX"/>
      </w:pPr>
      <w:r>
        <w:t>[</w:t>
      </w:r>
      <w:bookmarkStart w:id="6" w:name="REF_19995EC"/>
      <w:r>
        <w:fldChar w:fldCharType="begin"/>
      </w:r>
      <w:r>
        <w:instrText>SEQ REF</w:instrText>
      </w:r>
      <w:r>
        <w:fldChar w:fldCharType="separate"/>
      </w:r>
      <w:r w:rsidR="00B87D23">
        <w:rPr>
          <w:noProof/>
        </w:rPr>
        <w:t>1</w:t>
      </w:r>
      <w:r>
        <w:fldChar w:fldCharType="end"/>
      </w:r>
      <w:bookmarkEnd w:id="6"/>
      <w:r>
        <w:t>]</w:t>
      </w:r>
      <w:r>
        <w:tab/>
      </w:r>
      <w:r w:rsidRPr="00DF57B2">
        <w:t>Directive 1999/5/EC</w:t>
      </w:r>
      <w:r>
        <w:t xml:space="preserve"> of the European Parliament and of the Council of 9 March 1999 on radio equipment and telecommunications terminal equipment and the mutual recognition of their conformity.</w:t>
      </w:r>
    </w:p>
    <w:p w:rsidR="002B01EC" w:rsidRPr="002271FB" w:rsidRDefault="00567E09" w:rsidP="00567E09">
      <w:pPr>
        <w:pStyle w:val="EX"/>
      </w:pPr>
      <w:r>
        <w:t>[</w:t>
      </w:r>
      <w:bookmarkStart w:id="7" w:name="REF_7323EEC"/>
      <w:r>
        <w:fldChar w:fldCharType="begin"/>
      </w:r>
      <w:r>
        <w:instrText>SEQ REF</w:instrText>
      </w:r>
      <w:r>
        <w:fldChar w:fldCharType="separate"/>
      </w:r>
      <w:r w:rsidR="00B87D23">
        <w:rPr>
          <w:noProof/>
        </w:rPr>
        <w:t>2</w:t>
      </w:r>
      <w:r>
        <w:fldChar w:fldCharType="end"/>
      </w:r>
      <w:bookmarkEnd w:id="7"/>
      <w:r>
        <w:t>]</w:t>
      </w:r>
      <w:r>
        <w:tab/>
      </w:r>
      <w:r w:rsidRPr="00DF57B2">
        <w:t>Directive 73/23/EEC</w:t>
      </w:r>
      <w:r>
        <w:t xml:space="preserve"> of 19 February 1973 on the harmonization of the laws of Member States relating to electrical equipment designed for use within certain voltage limits.</w:t>
      </w:r>
    </w:p>
    <w:p w:rsidR="00567E09" w:rsidRDefault="00567E09" w:rsidP="00567E09">
      <w:pPr>
        <w:pStyle w:val="EX"/>
      </w:pPr>
      <w:r>
        <w:t>[</w:t>
      </w:r>
      <w:bookmarkStart w:id="8" w:name="REF_89336EEC"/>
      <w:r>
        <w:fldChar w:fldCharType="begin"/>
      </w:r>
      <w:r>
        <w:instrText>SEQ REF</w:instrText>
      </w:r>
      <w:r>
        <w:fldChar w:fldCharType="separate"/>
      </w:r>
      <w:r w:rsidR="00B87D23">
        <w:rPr>
          <w:noProof/>
        </w:rPr>
        <w:t>3</w:t>
      </w:r>
      <w:r>
        <w:fldChar w:fldCharType="end"/>
      </w:r>
      <w:bookmarkEnd w:id="8"/>
      <w:r>
        <w:t>]</w:t>
      </w:r>
      <w:r>
        <w:tab/>
      </w:r>
      <w:r w:rsidRPr="00DF57B2">
        <w:t>Directive 89/336/EEC</w:t>
      </w:r>
      <w:r>
        <w:t xml:space="preserve"> of 3 May 1989 on the approximation of the laws of the Member States relating to electromagnetic compatibility.</w:t>
      </w:r>
    </w:p>
    <w:p w:rsidR="002B01EC" w:rsidRPr="002271FB" w:rsidRDefault="002B01EC">
      <w:pPr>
        <w:pStyle w:val="Balk1"/>
      </w:pPr>
      <w:bookmarkStart w:id="9" w:name="_Toc25029060"/>
      <w:r w:rsidRPr="002271FB">
        <w:t>3</w:t>
      </w:r>
      <w:r w:rsidRPr="002271FB">
        <w:tab/>
        <w:t>Definitions and abbreviations</w:t>
      </w:r>
      <w:bookmarkEnd w:id="9"/>
    </w:p>
    <w:p w:rsidR="002B01EC" w:rsidRPr="002271FB" w:rsidRDefault="002B01EC">
      <w:pPr>
        <w:pStyle w:val="Balk2"/>
      </w:pPr>
      <w:bookmarkStart w:id="10" w:name="_Toc25029061"/>
      <w:r w:rsidRPr="002271FB">
        <w:t>3.1</w:t>
      </w:r>
      <w:r w:rsidRPr="002271FB">
        <w:tab/>
        <w:t>Definitions</w:t>
      </w:r>
      <w:bookmarkEnd w:id="10"/>
    </w:p>
    <w:p w:rsidR="002B01EC" w:rsidRPr="002271FB" w:rsidRDefault="002B01EC">
      <w:r w:rsidRPr="002271FB">
        <w:t>For the purposes of the present document, the following terms and definitions apply:</w:t>
      </w:r>
    </w:p>
    <w:p w:rsidR="002B01EC" w:rsidRPr="002271FB" w:rsidRDefault="002B01EC">
      <w:r w:rsidRPr="002271FB">
        <w:rPr>
          <w:b/>
        </w:rPr>
        <w:t>combined equipment:</w:t>
      </w:r>
      <w:r w:rsidRPr="002271FB">
        <w:t xml:space="preserve"> any equipment made of two or more individual products or functions</w:t>
      </w:r>
    </w:p>
    <w:p w:rsidR="002B01EC" w:rsidRPr="002271FB" w:rsidRDefault="002B01EC">
      <w:pPr>
        <w:pStyle w:val="NO"/>
      </w:pPr>
      <w:r w:rsidRPr="002271FB">
        <w:t>NOTE:</w:t>
      </w:r>
      <w:r w:rsidRPr="002271FB">
        <w:tab/>
        <w:t xml:space="preserve">At least one of the individual products or functions falls within the scope of the </w:t>
      </w:r>
      <w:r w:rsidR="00DF57B2" w:rsidRPr="00DF57B2">
        <w:t>R&amp;TTE</w:t>
      </w:r>
      <w:r w:rsidRPr="00DF57B2">
        <w:t xml:space="preserve"> Directive 1999/5/EC</w:t>
      </w:r>
      <w:r w:rsidR="00567E09" w:rsidRPr="00DF57B2">
        <w:t xml:space="preserve"> [</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The result of this combination provides additional control and/or functionality to the combined equipment.</w:t>
      </w:r>
    </w:p>
    <w:p w:rsidR="002B01EC" w:rsidRPr="002271FB" w:rsidRDefault="002B01EC">
      <w:r w:rsidRPr="002271FB">
        <w:rPr>
          <w:b/>
        </w:rPr>
        <w:t>control:</w:t>
      </w:r>
      <w:r w:rsidRPr="002271FB">
        <w:t xml:space="preserve"> any signals, whether analogue or digital, designed to change the basic operation, or internal configuration of the receiving product, except where selections are made from predetermined, unchangeable options</w:t>
      </w:r>
    </w:p>
    <w:p w:rsidR="002B01EC" w:rsidRPr="002271FB" w:rsidRDefault="002B01EC">
      <w:r w:rsidRPr="002271FB">
        <w:rPr>
          <w:b/>
        </w:rPr>
        <w:t xml:space="preserve">function: </w:t>
      </w:r>
      <w:r w:rsidRPr="002271FB">
        <w:t>functionality that cannot be identified as a separate product and is embedded into another product</w:t>
      </w:r>
    </w:p>
    <w:p w:rsidR="002B01EC" w:rsidRPr="002271FB" w:rsidRDefault="002B01EC">
      <w:pPr>
        <w:rPr>
          <w:b/>
        </w:rPr>
      </w:pPr>
      <w:r w:rsidRPr="002271FB">
        <w:rPr>
          <w:b/>
        </w:rPr>
        <w:lastRenderedPageBreak/>
        <w:t>manufacturer:</w:t>
      </w:r>
      <w:r w:rsidRPr="002271FB">
        <w:t xml:space="preserve"> manufacturer of the equipment, or his authorized representative, or an equipment supplier to the European market</w:t>
      </w:r>
    </w:p>
    <w:p w:rsidR="002B01EC" w:rsidRPr="002271FB" w:rsidRDefault="00C83138">
      <w:pPr>
        <w:rPr>
          <w:b/>
        </w:rPr>
      </w:pPr>
      <w:r>
        <w:rPr>
          <w:b/>
        </w:rPr>
        <w:t>m</w:t>
      </w:r>
      <w:r w:rsidR="002B01EC" w:rsidRPr="002271FB">
        <w:rPr>
          <w:b/>
        </w:rPr>
        <w:t>ulti-</w:t>
      </w:r>
      <w:r>
        <w:rPr>
          <w:b/>
        </w:rPr>
        <w:t>r</w:t>
      </w:r>
      <w:r w:rsidR="002B01EC" w:rsidRPr="002271FB">
        <w:rPr>
          <w:b/>
        </w:rPr>
        <w:t xml:space="preserve">adio equipment: </w:t>
      </w:r>
      <w:r w:rsidR="002B01EC" w:rsidRPr="002271FB">
        <w:rPr>
          <w:bCs/>
        </w:rPr>
        <w:t xml:space="preserve">radio </w:t>
      </w:r>
      <w:r w:rsidR="002B01EC" w:rsidRPr="002271FB">
        <w:t>equipment containing two or more radio transmitters and/or receivers using different technologies that may operate simultaneously</w:t>
      </w:r>
    </w:p>
    <w:p w:rsidR="002B01EC" w:rsidRPr="002271FB" w:rsidRDefault="002B01EC">
      <w:pPr>
        <w:rPr>
          <w:b/>
          <w:bCs/>
        </w:rPr>
      </w:pPr>
      <w:r w:rsidRPr="002271FB">
        <w:rPr>
          <w:b/>
        </w:rPr>
        <w:t>primary function:</w:t>
      </w:r>
      <w:r w:rsidRPr="002271FB">
        <w:t xml:space="preserve"> the function of a combined equipment, declared by the manufacturer, as the key operation of the equipment</w:t>
      </w:r>
      <w:r w:rsidR="00154B62">
        <w:t xml:space="preserve"> </w:t>
      </w:r>
    </w:p>
    <w:p w:rsidR="002B01EC" w:rsidRPr="002271FB" w:rsidRDefault="002B01EC">
      <w:pPr>
        <w:rPr>
          <w:b/>
          <w:bCs/>
        </w:rPr>
      </w:pPr>
      <w:r w:rsidRPr="002271FB">
        <w:rPr>
          <w:b/>
        </w:rPr>
        <w:t>primary product:</w:t>
      </w:r>
      <w:r w:rsidRPr="002271FB">
        <w:t xml:space="preserve"> the individual product within a combined equipment that provides the primary function</w:t>
      </w:r>
    </w:p>
    <w:p w:rsidR="002B01EC" w:rsidRPr="002271FB" w:rsidRDefault="002B01EC">
      <w:pPr>
        <w:pStyle w:val="Balk2"/>
      </w:pPr>
      <w:bookmarkStart w:id="11" w:name="_Toc25029062"/>
      <w:r w:rsidRPr="002271FB">
        <w:t>3.2</w:t>
      </w:r>
      <w:r w:rsidRPr="002271FB">
        <w:tab/>
        <w:t>Abbreviations</w:t>
      </w:r>
      <w:bookmarkEnd w:id="11"/>
    </w:p>
    <w:p w:rsidR="002B01EC" w:rsidRPr="002271FB" w:rsidRDefault="002B01EC">
      <w:r w:rsidRPr="002271FB">
        <w:t>For the purposes of the present document, the following abbreviations apply:</w:t>
      </w:r>
    </w:p>
    <w:p w:rsidR="002B01EC" w:rsidRPr="002271FB" w:rsidRDefault="002B01EC">
      <w:pPr>
        <w:pStyle w:val="EW"/>
      </w:pPr>
      <w:r w:rsidRPr="00DF57B2">
        <w:t>EMC</w:t>
      </w:r>
      <w:r w:rsidRPr="002271FB">
        <w:tab/>
        <w:t>ElectroMagnetic Compatibility</w:t>
      </w:r>
    </w:p>
    <w:p w:rsidR="002B01EC" w:rsidRPr="002271FB" w:rsidRDefault="002B01EC">
      <w:pPr>
        <w:pStyle w:val="EW"/>
      </w:pPr>
      <w:r w:rsidRPr="00DF57B2">
        <w:t>GPRS</w:t>
      </w:r>
      <w:r w:rsidRPr="002271FB">
        <w:tab/>
        <w:t>General Packet Radio Service</w:t>
      </w:r>
    </w:p>
    <w:p w:rsidR="002B01EC" w:rsidRPr="002271FB" w:rsidRDefault="002B01EC">
      <w:pPr>
        <w:pStyle w:val="EW"/>
      </w:pPr>
      <w:r w:rsidRPr="00DF57B2">
        <w:t>GSM</w:t>
      </w:r>
      <w:r w:rsidRPr="002271FB">
        <w:tab/>
        <w:t>Global System for Mobile communications</w:t>
      </w:r>
    </w:p>
    <w:p w:rsidR="002B01EC" w:rsidRPr="002271FB" w:rsidRDefault="002B01EC">
      <w:pPr>
        <w:pStyle w:val="EW"/>
      </w:pPr>
      <w:r w:rsidRPr="00DF57B2">
        <w:t>LAN</w:t>
      </w:r>
      <w:r w:rsidRPr="002271FB">
        <w:tab/>
        <w:t>Local Area Network</w:t>
      </w:r>
    </w:p>
    <w:p w:rsidR="002B01EC" w:rsidRPr="002271FB" w:rsidRDefault="002B01EC">
      <w:pPr>
        <w:pStyle w:val="EW"/>
      </w:pPr>
      <w:r w:rsidRPr="00DF57B2">
        <w:t>PABX</w:t>
      </w:r>
      <w:r w:rsidRPr="002271FB">
        <w:tab/>
        <w:t>Private Automatic Branch eXchange</w:t>
      </w:r>
    </w:p>
    <w:p w:rsidR="002B01EC" w:rsidRPr="002271FB" w:rsidRDefault="002B01EC">
      <w:pPr>
        <w:pStyle w:val="EW"/>
      </w:pPr>
      <w:r w:rsidRPr="00DF57B2">
        <w:t>PAN</w:t>
      </w:r>
      <w:r w:rsidRPr="002271FB">
        <w:tab/>
        <w:t>Personal Area Network</w:t>
      </w:r>
    </w:p>
    <w:p w:rsidR="002B01EC" w:rsidRPr="002271FB" w:rsidRDefault="002B01EC">
      <w:pPr>
        <w:pStyle w:val="EW"/>
      </w:pPr>
      <w:r w:rsidRPr="00DF57B2">
        <w:t>PC</w:t>
      </w:r>
      <w:r w:rsidRPr="002271FB">
        <w:tab/>
        <w:t>Personal Computer</w:t>
      </w:r>
    </w:p>
    <w:p w:rsidR="002B01EC" w:rsidRPr="002271FB" w:rsidRDefault="002B01EC">
      <w:pPr>
        <w:pStyle w:val="EW"/>
      </w:pPr>
      <w:r w:rsidRPr="00DF57B2">
        <w:t>PDA</w:t>
      </w:r>
      <w:r w:rsidRPr="002271FB">
        <w:tab/>
        <w:t>Personal Digital Assistant</w:t>
      </w:r>
    </w:p>
    <w:p w:rsidR="002B01EC" w:rsidRPr="002271FB" w:rsidRDefault="002B01EC">
      <w:pPr>
        <w:pStyle w:val="EW"/>
      </w:pPr>
      <w:r w:rsidRPr="00DF57B2">
        <w:t>RF</w:t>
      </w:r>
      <w:r w:rsidRPr="002271FB">
        <w:tab/>
        <w:t>Radio Frequency</w:t>
      </w:r>
    </w:p>
    <w:p w:rsidR="002B01EC" w:rsidRPr="002271FB" w:rsidRDefault="002B01EC">
      <w:pPr>
        <w:pStyle w:val="EW"/>
      </w:pPr>
      <w:r w:rsidRPr="00DF57B2">
        <w:t>RLAN</w:t>
      </w:r>
      <w:r w:rsidRPr="002271FB">
        <w:tab/>
        <w:t>Radio Local Area Network</w:t>
      </w:r>
    </w:p>
    <w:p w:rsidR="002B01EC" w:rsidRPr="002271FB" w:rsidRDefault="002B01EC">
      <w:pPr>
        <w:pStyle w:val="EW"/>
      </w:pPr>
      <w:r w:rsidRPr="00DF57B2">
        <w:t>R&amp;TTE</w:t>
      </w:r>
      <w:r w:rsidRPr="002271FB">
        <w:tab/>
        <w:t>Radio and/or Telecommunications Terminal Equipment</w:t>
      </w:r>
    </w:p>
    <w:p w:rsidR="002B01EC" w:rsidRPr="002271FB" w:rsidRDefault="002B01EC">
      <w:pPr>
        <w:pStyle w:val="EW"/>
      </w:pPr>
      <w:r w:rsidRPr="00DF57B2">
        <w:t>USB</w:t>
      </w:r>
      <w:r w:rsidRPr="002271FB">
        <w:tab/>
        <w:t>Universal Serial Bus</w:t>
      </w:r>
    </w:p>
    <w:p w:rsidR="002B01EC" w:rsidRPr="002271FB" w:rsidRDefault="002B01EC">
      <w:pPr>
        <w:pStyle w:val="EX"/>
      </w:pPr>
      <w:r w:rsidRPr="00DF57B2">
        <w:t>WAN</w:t>
      </w:r>
      <w:r w:rsidRPr="002271FB">
        <w:tab/>
        <w:t>Wide Area Network</w:t>
      </w:r>
    </w:p>
    <w:p w:rsidR="002B01EC" w:rsidRPr="002271FB" w:rsidRDefault="002B01EC">
      <w:pPr>
        <w:pStyle w:val="Balk1"/>
      </w:pPr>
      <w:bookmarkStart w:id="12" w:name="_Toc25029063"/>
      <w:r w:rsidRPr="002271FB">
        <w:t>4</w:t>
      </w:r>
      <w:r w:rsidRPr="002271FB">
        <w:tab/>
        <w:t>Products considered in the present document</w:t>
      </w:r>
      <w:bookmarkEnd w:id="12"/>
    </w:p>
    <w:p w:rsidR="002B01EC" w:rsidRPr="002271FB" w:rsidRDefault="002B01EC">
      <w:pPr>
        <w:pStyle w:val="Balk2"/>
      </w:pPr>
      <w:bookmarkStart w:id="13" w:name="_Toc25029064"/>
      <w:r w:rsidRPr="002271FB">
        <w:t>4.1</w:t>
      </w:r>
      <w:r w:rsidRPr="002271FB">
        <w:tab/>
        <w:t>Relationship between individual components of a combined equipment</w:t>
      </w:r>
      <w:bookmarkEnd w:id="13"/>
    </w:p>
    <w:p w:rsidR="002B01EC" w:rsidRPr="002271FB" w:rsidRDefault="002B01EC">
      <w:r w:rsidRPr="002271FB">
        <w:t xml:space="preserve">In all of the various scenarios at least one of the </w:t>
      </w:r>
      <w:r w:rsidRPr="002271FB">
        <w:rPr>
          <w:b/>
          <w:bCs/>
        </w:rPr>
        <w:t>products</w:t>
      </w:r>
      <w:r w:rsidRPr="002271FB">
        <w:t xml:space="preserve"> or </w:t>
      </w:r>
      <w:r w:rsidRPr="002271FB">
        <w:rPr>
          <w:b/>
          <w:bCs/>
        </w:rPr>
        <w:t>functions</w:t>
      </w:r>
      <w:r w:rsidRPr="002271FB">
        <w:t xml:space="preserve"> falls within the scope of article 3.2 of the </w:t>
      </w:r>
      <w:r w:rsidR="00DF57B2" w:rsidRPr="00DF57B2">
        <w:t>R&amp;TTE</w:t>
      </w:r>
      <w:r w:rsidRPr="00DF57B2">
        <w:t xml:space="preserve"> Directive 1999/5/EC</w:t>
      </w:r>
      <w:r w:rsidR="00567E09" w:rsidRPr="00DF57B2">
        <w:t xml:space="preserve"> [</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i.e. at least one of the </w:t>
      </w:r>
      <w:r w:rsidRPr="002271FB">
        <w:rPr>
          <w:b/>
        </w:rPr>
        <w:t>products</w:t>
      </w:r>
      <w:r w:rsidRPr="002271FB">
        <w:t xml:space="preserve"> or </w:t>
      </w:r>
      <w:r w:rsidRPr="002271FB">
        <w:rPr>
          <w:b/>
        </w:rPr>
        <w:t>functions</w:t>
      </w:r>
      <w:r w:rsidRPr="002271FB">
        <w:t xml:space="preserve"> </w:t>
      </w:r>
      <w:r w:rsidR="00CE79C2" w:rsidRPr="002271FB">
        <w:t>is a</w:t>
      </w:r>
      <w:r w:rsidRPr="002271FB">
        <w:t xml:space="preserve"> radio.</w:t>
      </w:r>
    </w:p>
    <w:p w:rsidR="002B01EC" w:rsidRPr="002271FB" w:rsidRDefault="002B01EC">
      <w:r w:rsidRPr="002271FB">
        <w:t>The integration of a radio into a non-radio product and the integration of several radios into a single equipment is a non linear process, which needs careful consideration of the emissions.</w:t>
      </w:r>
    </w:p>
    <w:p w:rsidR="002B01EC" w:rsidRPr="002271FB" w:rsidRDefault="002B01EC">
      <w:r w:rsidRPr="002271FB">
        <w:t xml:space="preserve">The wanted signal from a radio transmitter may generate harmonics in other parts of the circuitry and may generate intermodulation products with other </w:t>
      </w:r>
      <w:r w:rsidR="00DF57B2" w:rsidRPr="00DF57B2">
        <w:t>RF</w:t>
      </w:r>
      <w:r w:rsidRPr="002271FB">
        <w:t xml:space="preserve"> sources.</w:t>
      </w:r>
      <w:r w:rsidR="00154B62">
        <w:t xml:space="preserve"> </w:t>
      </w:r>
      <w:r w:rsidRPr="002271FB">
        <w:t xml:space="preserve">These </w:t>
      </w:r>
      <w:r w:rsidR="00DF57B2" w:rsidRPr="00DF57B2">
        <w:t>RF</w:t>
      </w:r>
      <w:r w:rsidRPr="002271FB">
        <w:t xml:space="preserve"> sources may be internal clock oscillators not intended to radiate, they may be local oscillators of radio receivers as well as </w:t>
      </w:r>
      <w:r w:rsidR="00DF57B2" w:rsidRPr="00DF57B2">
        <w:t>RF</w:t>
      </w:r>
      <w:r w:rsidRPr="002271FB">
        <w:t xml:space="preserve"> generators of radio transmitters. </w:t>
      </w:r>
    </w:p>
    <w:p w:rsidR="002B01EC" w:rsidRPr="002271FB" w:rsidRDefault="002B01EC">
      <w:r w:rsidRPr="002271FB">
        <w:t xml:space="preserve">The following </w:t>
      </w:r>
      <w:r w:rsidR="00056B21">
        <w:t>figures</w:t>
      </w:r>
      <w:r w:rsidRPr="002271FB">
        <w:t xml:space="preserve"> illustrate the various product combinations con</w:t>
      </w:r>
      <w:r w:rsidR="00127E45">
        <w:t>sidered in the present document.</w:t>
      </w:r>
    </w:p>
    <w:p w:rsidR="002B01EC" w:rsidRPr="002271FB" w:rsidRDefault="002B01EC">
      <w:pPr>
        <w:pStyle w:val="Balk3"/>
      </w:pPr>
      <w:bookmarkStart w:id="14" w:name="_Toc25029065"/>
      <w:r w:rsidRPr="002271FB">
        <w:lastRenderedPageBreak/>
        <w:t>4.1.1</w:t>
      </w:r>
      <w:r w:rsidRPr="002271FB">
        <w:tab/>
        <w:t>Scenario 1</w:t>
      </w:r>
      <w:bookmarkEnd w:id="14"/>
    </w:p>
    <w:bookmarkStart w:id="15" w:name="_MON_1083480029"/>
    <w:bookmarkStart w:id="16" w:name="_MON_1083480137"/>
    <w:bookmarkStart w:id="17" w:name="_MON_1098688023"/>
    <w:bookmarkEnd w:id="15"/>
    <w:bookmarkEnd w:id="16"/>
    <w:bookmarkEnd w:id="17"/>
    <w:p w:rsidR="002B01EC" w:rsidRPr="002271FB" w:rsidRDefault="002B01EC" w:rsidP="00914030">
      <w:pPr>
        <w:pStyle w:val="FL"/>
      </w:pPr>
      <w:r w:rsidRPr="002271FB">
        <w:object w:dxaOrig="9555" w:dyaOrig="4650">
          <v:shape id="_x0000_i1027" type="#_x0000_t75" style="width:477.75pt;height:232.5pt" o:ole="">
            <v:imagedata r:id="rId14" o:title=""/>
          </v:shape>
          <o:OLEObject Type="Embed" ProgID="Word.Picture.8" ShapeID="_x0000_i1027" DrawAspect="Content" ObjectID="_1545048504" r:id="rId15"/>
        </w:object>
      </w:r>
    </w:p>
    <w:p w:rsidR="002B01EC" w:rsidRPr="002271FB" w:rsidRDefault="002B01EC">
      <w:pPr>
        <w:pStyle w:val="TF"/>
      </w:pPr>
      <w:r w:rsidRPr="002271FB">
        <w:t>Figure 2</w:t>
      </w:r>
    </w:p>
    <w:p w:rsidR="002B01EC" w:rsidRPr="002271FB" w:rsidRDefault="002B01EC">
      <w:pPr>
        <w:pStyle w:val="GvdeMetni"/>
        <w:jc w:val="left"/>
      </w:pPr>
      <w:r w:rsidRPr="002271FB">
        <w:t xml:space="preserve">In this scenario all three of the above products are products in their own right with their own functionality and compliance to their respective EU directives, but may in some cases be reliant upon one of the other products for its power supply. In this scenario either </w:t>
      </w:r>
      <w:r w:rsidRPr="002271FB">
        <w:rPr>
          <w:b/>
          <w:bCs/>
        </w:rPr>
        <w:t>product A</w:t>
      </w:r>
      <w:r w:rsidRPr="002271FB">
        <w:t xml:space="preserve"> and/or </w:t>
      </w:r>
      <w:r w:rsidRPr="002271FB">
        <w:rPr>
          <w:b/>
          <w:bCs/>
        </w:rPr>
        <w:t>product B</w:t>
      </w:r>
      <w:r w:rsidRPr="002271FB">
        <w:t xml:space="preserve"> is a product that falls within the scope of the </w:t>
      </w:r>
      <w:r w:rsidR="00DF57B2" w:rsidRPr="00DF57B2">
        <w:t>R&amp;TTE</w:t>
      </w:r>
      <w:r w:rsidRPr="00DF57B2">
        <w:t xml:space="preserve"> Directive</w:t>
      </w:r>
      <w:r w:rsidRPr="002271FB">
        <w:t xml:space="preserve"> therefore </w:t>
      </w:r>
      <w:r w:rsidRPr="002271FB">
        <w:rPr>
          <w:b/>
          <w:bCs/>
        </w:rPr>
        <w:t>product C</w:t>
      </w:r>
      <w:r w:rsidRPr="002271FB">
        <w:t xml:space="preserve"> also falls under the scope of the </w:t>
      </w:r>
      <w:r w:rsidR="00DF57B2" w:rsidRPr="00DF57B2">
        <w:t>R&amp;TTE</w:t>
      </w:r>
      <w:r w:rsidRPr="00DF57B2">
        <w:t xml:space="preserve"> Directive</w:t>
      </w:r>
      <w:r w:rsidRPr="002271FB">
        <w:t xml:space="preserve">. </w:t>
      </w:r>
    </w:p>
    <w:p w:rsidR="002B01EC" w:rsidRPr="002271FB" w:rsidRDefault="002B01EC">
      <w:pPr>
        <w:pStyle w:val="Balk3"/>
      </w:pPr>
      <w:bookmarkStart w:id="18" w:name="_Toc25029066"/>
      <w:r w:rsidRPr="002271FB">
        <w:t>4.1.2</w:t>
      </w:r>
      <w:r w:rsidRPr="002271FB">
        <w:tab/>
        <w:t>Scenario 2</w:t>
      </w:r>
      <w:bookmarkEnd w:id="18"/>
    </w:p>
    <w:bookmarkStart w:id="19" w:name="_MON_1098688024"/>
    <w:bookmarkEnd w:id="19"/>
    <w:p w:rsidR="002B01EC" w:rsidRPr="002271FB" w:rsidRDefault="00914030" w:rsidP="00914030">
      <w:pPr>
        <w:pStyle w:val="FL"/>
      </w:pPr>
      <w:r w:rsidRPr="002271FB">
        <w:object w:dxaOrig="4125" w:dyaOrig="2325">
          <v:shape id="_x0000_i1028" type="#_x0000_t75" style="width:206.25pt;height:80.25pt" o:ole="">
            <v:imagedata r:id="rId16" o:title="" croptop="9302f" cropbottom="10993f"/>
          </v:shape>
          <o:OLEObject Type="Embed" ProgID="Word.Picture.8" ShapeID="_x0000_i1028" DrawAspect="Content" ObjectID="_1545048505" r:id="rId17"/>
        </w:object>
      </w:r>
    </w:p>
    <w:p w:rsidR="002B01EC" w:rsidRPr="002271FB" w:rsidRDefault="002B01EC">
      <w:pPr>
        <w:pStyle w:val="TH"/>
      </w:pPr>
      <w:r w:rsidRPr="002271FB">
        <w:t>Figure 3</w:t>
      </w:r>
    </w:p>
    <w:p w:rsidR="002B01EC" w:rsidRPr="002271FB" w:rsidRDefault="002B01EC">
      <w:r w:rsidRPr="002271FB">
        <w:rPr>
          <w:b/>
          <w:bCs/>
        </w:rPr>
        <w:t>Product A</w:t>
      </w:r>
      <w:r w:rsidRPr="002271FB">
        <w:t xml:space="preserve"> is a product in its own right and is placed upon the EU market in accordance with the relevant directives. </w:t>
      </w:r>
      <w:r w:rsidRPr="002271FB">
        <w:rPr>
          <w:b/>
          <w:bCs/>
        </w:rPr>
        <w:t>Product B</w:t>
      </w:r>
      <w:r w:rsidRPr="002271FB">
        <w:t xml:space="preserve"> is dependent upon </w:t>
      </w:r>
      <w:r w:rsidRPr="002271FB">
        <w:rPr>
          <w:b/>
          <w:bCs/>
        </w:rPr>
        <w:t>product A</w:t>
      </w:r>
      <w:r w:rsidRPr="002271FB">
        <w:t xml:space="preserve"> and relies upon </w:t>
      </w:r>
      <w:r w:rsidRPr="002271FB">
        <w:rPr>
          <w:b/>
          <w:bCs/>
        </w:rPr>
        <w:t>product A</w:t>
      </w:r>
      <w:r w:rsidRPr="002271FB">
        <w:t xml:space="preserve"> for control and possibly power. </w:t>
      </w:r>
      <w:r w:rsidRPr="002271FB">
        <w:rPr>
          <w:b/>
          <w:bCs/>
        </w:rPr>
        <w:t>Product B</w:t>
      </w:r>
      <w:r w:rsidRPr="002271FB">
        <w:t xml:space="preserve"> is physically installed within </w:t>
      </w:r>
      <w:r w:rsidRPr="002271FB">
        <w:rPr>
          <w:b/>
          <w:bCs/>
        </w:rPr>
        <w:t>product A</w:t>
      </w:r>
      <w:r w:rsidRPr="002271FB">
        <w:t xml:space="preserve"> according to the </w:t>
      </w:r>
      <w:r w:rsidR="00CE79C2" w:rsidRPr="002271FB">
        <w:t>manufacturer's</w:t>
      </w:r>
      <w:r w:rsidRPr="002271FB">
        <w:t xml:space="preserve"> instruction, e.g. plug and socket, hard wiring. There may be multiple types of </w:t>
      </w:r>
      <w:r w:rsidR="00154B62">
        <w:rPr>
          <w:b/>
          <w:bCs/>
        </w:rPr>
        <w:t>product B</w:t>
      </w:r>
      <w:r w:rsidRPr="002271FB">
        <w:rPr>
          <w:b/>
          <w:bCs/>
        </w:rPr>
        <w:t>s</w:t>
      </w:r>
      <w:r w:rsidRPr="002271FB">
        <w:t xml:space="preserve"> within a single </w:t>
      </w:r>
      <w:r w:rsidRPr="002271FB">
        <w:rPr>
          <w:b/>
          <w:bCs/>
        </w:rPr>
        <w:t>product A.</w:t>
      </w:r>
      <w:r w:rsidRPr="002271FB">
        <w:t xml:space="preserve"> </w:t>
      </w:r>
    </w:p>
    <w:p w:rsidR="002B01EC" w:rsidRPr="002271FB" w:rsidRDefault="002B01EC" w:rsidP="00154B62">
      <w:pPr>
        <w:pStyle w:val="Balk3"/>
      </w:pPr>
      <w:bookmarkStart w:id="20" w:name="_Toc25029067"/>
      <w:r w:rsidRPr="002271FB">
        <w:lastRenderedPageBreak/>
        <w:t>4.1.3</w:t>
      </w:r>
      <w:r w:rsidRPr="002271FB">
        <w:tab/>
        <w:t>Scenario 3</w:t>
      </w:r>
      <w:bookmarkEnd w:id="20"/>
    </w:p>
    <w:bookmarkStart w:id="21" w:name="_MON_1084090677"/>
    <w:bookmarkStart w:id="22" w:name="_MON_1084091716"/>
    <w:bookmarkStart w:id="23" w:name="_MON_1098688025"/>
    <w:bookmarkEnd w:id="21"/>
    <w:bookmarkEnd w:id="22"/>
    <w:bookmarkEnd w:id="23"/>
    <w:p w:rsidR="002B01EC" w:rsidRPr="002271FB" w:rsidRDefault="002B01EC" w:rsidP="00154B62">
      <w:pPr>
        <w:pStyle w:val="FL"/>
      </w:pPr>
      <w:r w:rsidRPr="002271FB">
        <w:object w:dxaOrig="7830" w:dyaOrig="1260">
          <v:shape id="_x0000_i1029" type="#_x0000_t75" style="width:391.5pt;height:63pt" o:ole="">
            <v:imagedata r:id="rId18" o:title=""/>
          </v:shape>
          <o:OLEObject Type="Embed" ProgID="Word.Picture.8" ShapeID="_x0000_i1029" DrawAspect="Content" ObjectID="_1545048506" r:id="rId19"/>
        </w:object>
      </w:r>
    </w:p>
    <w:p w:rsidR="002B01EC" w:rsidRPr="002271FB" w:rsidRDefault="002B01EC" w:rsidP="00154B62">
      <w:pPr>
        <w:pStyle w:val="TF"/>
        <w:keepNext/>
      </w:pPr>
      <w:r w:rsidRPr="002271FB">
        <w:t>Figure 4</w:t>
      </w:r>
    </w:p>
    <w:p w:rsidR="002B01EC" w:rsidRPr="002271FB" w:rsidRDefault="002B01EC" w:rsidP="00154B62">
      <w:pPr>
        <w:keepNext/>
        <w:keepLines/>
      </w:pPr>
      <w:r w:rsidRPr="002271FB">
        <w:rPr>
          <w:b/>
          <w:bCs/>
        </w:rPr>
        <w:t>Product A</w:t>
      </w:r>
      <w:r w:rsidRPr="002271FB">
        <w:t xml:space="preserve"> is a product in its own right and is placed upon the EU market in accordance with the relevant directives. </w:t>
      </w:r>
      <w:r w:rsidRPr="002271FB">
        <w:rPr>
          <w:b/>
          <w:bCs/>
        </w:rPr>
        <w:t>Product B</w:t>
      </w:r>
      <w:r w:rsidRPr="002271FB">
        <w:t xml:space="preserve"> is dependent upon </w:t>
      </w:r>
      <w:r w:rsidRPr="002271FB">
        <w:rPr>
          <w:b/>
          <w:bCs/>
        </w:rPr>
        <w:t>product A</w:t>
      </w:r>
      <w:r w:rsidRPr="002271FB">
        <w:t xml:space="preserve"> and relies upon </w:t>
      </w:r>
      <w:r w:rsidRPr="002271FB">
        <w:rPr>
          <w:b/>
          <w:bCs/>
        </w:rPr>
        <w:t>product A</w:t>
      </w:r>
      <w:r w:rsidRPr="002271FB">
        <w:t xml:space="preserve"> for control and possibly its power supply. </w:t>
      </w:r>
      <w:r w:rsidRPr="002271FB">
        <w:rPr>
          <w:b/>
          <w:bCs/>
        </w:rPr>
        <w:t>Product B</w:t>
      </w:r>
      <w:r w:rsidRPr="002271FB">
        <w:t xml:space="preserve"> is physically connected by either cable or fibre to </w:t>
      </w:r>
      <w:r w:rsidRPr="002271FB">
        <w:rPr>
          <w:b/>
          <w:bCs/>
        </w:rPr>
        <w:t>product A</w:t>
      </w:r>
      <w:r w:rsidRPr="002271FB">
        <w:t xml:space="preserve">, and the two products may be some distance apart . There may be several </w:t>
      </w:r>
      <w:r w:rsidRPr="002271FB">
        <w:rPr>
          <w:b/>
          <w:bCs/>
        </w:rPr>
        <w:t>product Bs</w:t>
      </w:r>
      <w:r w:rsidRPr="002271FB">
        <w:t xml:space="preserve"> connected to a single </w:t>
      </w:r>
      <w:r w:rsidRPr="002271FB">
        <w:rPr>
          <w:b/>
          <w:bCs/>
        </w:rPr>
        <w:t>product A</w:t>
      </w:r>
      <w:r w:rsidRPr="002271FB">
        <w:t xml:space="preserve">. </w:t>
      </w:r>
    </w:p>
    <w:p w:rsidR="002B01EC" w:rsidRPr="002271FB" w:rsidRDefault="002B01EC">
      <w:pPr>
        <w:pStyle w:val="Balk3"/>
      </w:pPr>
      <w:bookmarkStart w:id="24" w:name="_Toc25029068"/>
      <w:r w:rsidRPr="002271FB">
        <w:t>4.1.4</w:t>
      </w:r>
      <w:r w:rsidRPr="002271FB">
        <w:tab/>
        <w:t>Scenario 4</w:t>
      </w:r>
      <w:bookmarkEnd w:id="24"/>
    </w:p>
    <w:bookmarkStart w:id="25" w:name="_MON_1084090494"/>
    <w:bookmarkStart w:id="26" w:name="_MON_1084090665"/>
    <w:bookmarkStart w:id="27" w:name="_MON_1098688027"/>
    <w:bookmarkEnd w:id="25"/>
    <w:bookmarkEnd w:id="26"/>
    <w:bookmarkEnd w:id="27"/>
    <w:p w:rsidR="002B01EC" w:rsidRPr="002271FB" w:rsidRDefault="002B01EC" w:rsidP="00914030">
      <w:pPr>
        <w:pStyle w:val="FL"/>
      </w:pPr>
      <w:r w:rsidRPr="002271FB">
        <w:object w:dxaOrig="8655" w:dyaOrig="2250">
          <v:shape id="_x0000_i1030" type="#_x0000_t75" style="width:432.75pt;height:112.5pt" o:ole="">
            <v:imagedata r:id="rId20" o:title=""/>
          </v:shape>
          <o:OLEObject Type="Embed" ProgID="Word.Picture.8" ShapeID="_x0000_i1030" DrawAspect="Content" ObjectID="_1545048507" r:id="rId21"/>
        </w:object>
      </w:r>
    </w:p>
    <w:p w:rsidR="002B01EC" w:rsidRPr="002271FB" w:rsidRDefault="002B01EC">
      <w:pPr>
        <w:pStyle w:val="TF"/>
      </w:pPr>
      <w:r w:rsidRPr="002271FB">
        <w:t>Figure 5</w:t>
      </w:r>
    </w:p>
    <w:p w:rsidR="002B01EC" w:rsidRPr="002271FB" w:rsidRDefault="002B01EC">
      <w:r w:rsidRPr="002271FB">
        <w:t xml:space="preserve">This scenario is a combination of the previous two scenarios. </w:t>
      </w:r>
      <w:r w:rsidRPr="002271FB">
        <w:rPr>
          <w:b/>
          <w:bCs/>
        </w:rPr>
        <w:t>Product B1</w:t>
      </w:r>
      <w:r w:rsidRPr="002271FB">
        <w:t xml:space="preserve"> is physically installed within </w:t>
      </w:r>
      <w:r w:rsidRPr="002271FB">
        <w:rPr>
          <w:b/>
          <w:bCs/>
        </w:rPr>
        <w:t>product A</w:t>
      </w:r>
      <w:r w:rsidRPr="002271FB">
        <w:t xml:space="preserve"> according to the </w:t>
      </w:r>
      <w:r w:rsidR="00CE79C2" w:rsidRPr="002271FB">
        <w:t>manufacturer's</w:t>
      </w:r>
      <w:r w:rsidRPr="002271FB">
        <w:t xml:space="preserve"> instruction, e.g. plug and socket, hard wiring, whilst </w:t>
      </w:r>
      <w:r w:rsidRPr="002271FB">
        <w:rPr>
          <w:b/>
          <w:bCs/>
        </w:rPr>
        <w:t>product B2</w:t>
      </w:r>
      <w:r w:rsidRPr="002271FB">
        <w:t xml:space="preserve"> is physically connected by either cable or fibre to </w:t>
      </w:r>
      <w:r w:rsidRPr="002271FB">
        <w:rPr>
          <w:b/>
          <w:bCs/>
        </w:rPr>
        <w:t>product A</w:t>
      </w:r>
      <w:r w:rsidRPr="002271FB">
        <w:t xml:space="preserve"> and may be some distance apart. </w:t>
      </w:r>
    </w:p>
    <w:p w:rsidR="002B01EC" w:rsidRPr="002271FB" w:rsidRDefault="002B01EC">
      <w:pPr>
        <w:pStyle w:val="Balk3"/>
      </w:pPr>
      <w:bookmarkStart w:id="28" w:name="_Toc25029069"/>
      <w:r w:rsidRPr="002271FB">
        <w:t>4.1.5</w:t>
      </w:r>
      <w:r w:rsidRPr="002271FB">
        <w:tab/>
        <w:t>Scenario 5</w:t>
      </w:r>
      <w:bookmarkEnd w:id="28"/>
    </w:p>
    <w:bookmarkStart w:id="29" w:name="_MON_1098687954"/>
    <w:bookmarkStart w:id="30" w:name="_MON_1098688028"/>
    <w:bookmarkEnd w:id="29"/>
    <w:bookmarkEnd w:id="30"/>
    <w:p w:rsidR="002B01EC" w:rsidRPr="002271FB" w:rsidRDefault="00914030" w:rsidP="00914030">
      <w:pPr>
        <w:pStyle w:val="FL"/>
      </w:pPr>
      <w:r w:rsidRPr="002271FB">
        <w:object w:dxaOrig="3735" w:dyaOrig="3015">
          <v:shape id="_x0000_i1031" type="#_x0000_t75" style="width:120pt;height:124.5pt" o:ole="">
            <v:imagedata r:id="rId22" o:title="" cropbottom="11412f" cropleft="12107f" cropright="11317f"/>
          </v:shape>
          <o:OLEObject Type="Embed" ProgID="Word.Picture.8" ShapeID="_x0000_i1031" DrawAspect="Content" ObjectID="_1545048508" r:id="rId23"/>
        </w:object>
      </w:r>
    </w:p>
    <w:p w:rsidR="002B01EC" w:rsidRPr="002271FB" w:rsidRDefault="002B01EC">
      <w:pPr>
        <w:pStyle w:val="TF"/>
      </w:pPr>
      <w:r w:rsidRPr="002271FB">
        <w:t>Figure 6</w:t>
      </w:r>
    </w:p>
    <w:p w:rsidR="002B01EC" w:rsidRPr="002271FB" w:rsidRDefault="002B01EC">
      <w:r w:rsidRPr="002271FB">
        <w:rPr>
          <w:b/>
          <w:bCs/>
        </w:rPr>
        <w:t>Product A</w:t>
      </w:r>
      <w:r w:rsidRPr="002271FB">
        <w:t xml:space="preserve"> was a product in its own right and was placed upon the EU market in accordance with the relevant directives. In this scenario an additional function, </w:t>
      </w:r>
      <w:r w:rsidRPr="002271FB">
        <w:rPr>
          <w:b/>
          <w:bCs/>
        </w:rPr>
        <w:t>function B,</w:t>
      </w:r>
      <w:r w:rsidRPr="002271FB">
        <w:t xml:space="preserve"> is</w:t>
      </w:r>
      <w:r w:rsidR="00154B62">
        <w:t xml:space="preserve"> </w:t>
      </w:r>
      <w:r w:rsidRPr="002271FB">
        <w:t xml:space="preserve">incorporated into </w:t>
      </w:r>
      <w:r w:rsidRPr="002271FB">
        <w:rPr>
          <w:b/>
          <w:bCs/>
        </w:rPr>
        <w:t>product A</w:t>
      </w:r>
      <w:r w:rsidRPr="002271FB">
        <w:t xml:space="preserve"> during a design evolution and cannot be identified as a separate part of </w:t>
      </w:r>
      <w:r w:rsidRPr="002271FB">
        <w:rPr>
          <w:b/>
          <w:bCs/>
        </w:rPr>
        <w:t>product A</w:t>
      </w:r>
      <w:r w:rsidRPr="002271FB">
        <w:t xml:space="preserve">. However </w:t>
      </w:r>
      <w:r w:rsidRPr="002271FB">
        <w:rPr>
          <w:b/>
          <w:bCs/>
        </w:rPr>
        <w:t>product A</w:t>
      </w:r>
      <w:r w:rsidR="002D6ADF">
        <w:t xml:space="preserve"> can be operated without using</w:t>
      </w:r>
      <w:r w:rsidR="002D6ADF">
        <w:br/>
      </w:r>
      <w:r w:rsidRPr="002271FB">
        <w:rPr>
          <w:b/>
          <w:bCs/>
        </w:rPr>
        <w:t>function B</w:t>
      </w:r>
      <w:r w:rsidRPr="002271FB">
        <w:t>.</w:t>
      </w:r>
    </w:p>
    <w:p w:rsidR="002B01EC" w:rsidRPr="002271FB" w:rsidRDefault="002B01EC">
      <w:pPr>
        <w:pStyle w:val="Balk3"/>
      </w:pPr>
      <w:bookmarkStart w:id="31" w:name="_Toc25029070"/>
      <w:r w:rsidRPr="002271FB">
        <w:lastRenderedPageBreak/>
        <w:t>4.1.6</w:t>
      </w:r>
      <w:r w:rsidRPr="002271FB">
        <w:tab/>
        <w:t>Scenario 6</w:t>
      </w:r>
      <w:bookmarkEnd w:id="31"/>
    </w:p>
    <w:bookmarkStart w:id="32" w:name="_MON_1098688029"/>
    <w:bookmarkEnd w:id="32"/>
    <w:p w:rsidR="002B01EC" w:rsidRPr="002271FB" w:rsidRDefault="002B01EC" w:rsidP="00914030">
      <w:pPr>
        <w:pStyle w:val="FL"/>
      </w:pPr>
      <w:r w:rsidRPr="002271FB">
        <w:object w:dxaOrig="3735" w:dyaOrig="3015">
          <v:shape id="_x0000_i1032" type="#_x0000_t75" style="width:186.75pt;height:150.75pt" o:ole="">
            <v:imagedata r:id="rId24" o:title=""/>
          </v:shape>
          <o:OLEObject Type="Embed" ProgID="Word.Picture.8" ShapeID="_x0000_i1032" DrawAspect="Content" ObjectID="_1545048509" r:id="rId25"/>
        </w:object>
      </w:r>
    </w:p>
    <w:p w:rsidR="002B01EC" w:rsidRPr="002271FB" w:rsidRDefault="002B01EC">
      <w:pPr>
        <w:pStyle w:val="TF"/>
      </w:pPr>
      <w:r w:rsidRPr="002271FB">
        <w:t>Figure 7</w:t>
      </w:r>
    </w:p>
    <w:p w:rsidR="002B01EC" w:rsidRPr="002271FB" w:rsidRDefault="002B01EC">
      <w:r w:rsidRPr="002271FB">
        <w:rPr>
          <w:b/>
          <w:bCs/>
        </w:rPr>
        <w:t>Function B</w:t>
      </w:r>
      <w:r w:rsidRPr="002271FB">
        <w:t xml:space="preserve"> is part of </w:t>
      </w:r>
      <w:r w:rsidRPr="002271FB">
        <w:rPr>
          <w:b/>
          <w:bCs/>
        </w:rPr>
        <w:t>product A</w:t>
      </w:r>
      <w:r w:rsidRPr="002271FB">
        <w:t xml:space="preserve"> which was added during design. </w:t>
      </w:r>
      <w:r w:rsidRPr="002271FB">
        <w:rPr>
          <w:b/>
          <w:bCs/>
        </w:rPr>
        <w:t>Product A</w:t>
      </w:r>
      <w:r w:rsidRPr="002271FB">
        <w:t xml:space="preserve"> cannot be operated without using </w:t>
      </w:r>
      <w:r w:rsidRPr="002271FB">
        <w:rPr>
          <w:b/>
          <w:bCs/>
        </w:rPr>
        <w:t>function B</w:t>
      </w:r>
      <w:r w:rsidRPr="002271FB">
        <w:t>.</w:t>
      </w:r>
    </w:p>
    <w:p w:rsidR="002B01EC" w:rsidRPr="002271FB" w:rsidRDefault="002B01EC">
      <w:pPr>
        <w:pStyle w:val="Balk3"/>
      </w:pPr>
      <w:bookmarkStart w:id="33" w:name="_Toc25029071"/>
      <w:r w:rsidRPr="002271FB">
        <w:t>4.1.7</w:t>
      </w:r>
      <w:r w:rsidRPr="002271FB">
        <w:tab/>
        <w:t>Scenario 7</w:t>
      </w:r>
      <w:bookmarkEnd w:id="33"/>
    </w:p>
    <w:bookmarkStart w:id="34" w:name="_MON_1098688030"/>
    <w:bookmarkEnd w:id="34"/>
    <w:p w:rsidR="002B01EC" w:rsidRPr="002271FB" w:rsidRDefault="002B01EC" w:rsidP="00914030">
      <w:pPr>
        <w:pStyle w:val="FL"/>
      </w:pPr>
      <w:r w:rsidRPr="002271FB">
        <w:object w:dxaOrig="8640" w:dyaOrig="1125">
          <v:shape id="_x0000_i1033" type="#_x0000_t75" style="width:6in;height:56.25pt" o:ole="">
            <v:imagedata r:id="rId26" o:title=""/>
          </v:shape>
          <o:OLEObject Type="Embed" ProgID="Word.Picture.8" ShapeID="_x0000_i1033" DrawAspect="Content" ObjectID="_1545048510" r:id="rId27"/>
        </w:object>
      </w:r>
    </w:p>
    <w:p w:rsidR="002B01EC" w:rsidRPr="002271FB" w:rsidRDefault="002B01EC">
      <w:pPr>
        <w:pStyle w:val="TF"/>
      </w:pPr>
      <w:r w:rsidRPr="002271FB">
        <w:t>Figure 8</w:t>
      </w:r>
    </w:p>
    <w:p w:rsidR="002B01EC" w:rsidRPr="002271FB" w:rsidRDefault="002B01EC" w:rsidP="00914030">
      <w:r w:rsidRPr="002271FB">
        <w:rPr>
          <w:b/>
          <w:bCs/>
        </w:rPr>
        <w:t>Products A</w:t>
      </w:r>
      <w:r w:rsidRPr="002271FB">
        <w:t xml:space="preserve"> and </w:t>
      </w:r>
      <w:r w:rsidRPr="002271FB">
        <w:rPr>
          <w:b/>
          <w:bCs/>
        </w:rPr>
        <w:t>B</w:t>
      </w:r>
      <w:r w:rsidRPr="002271FB">
        <w:t xml:space="preserve"> are products in their own right. However </w:t>
      </w:r>
      <w:r w:rsidRPr="002271FB">
        <w:rPr>
          <w:b/>
          <w:bCs/>
        </w:rPr>
        <w:t>product A</w:t>
      </w:r>
      <w:r w:rsidRPr="002271FB">
        <w:t xml:space="preserve"> relies upon </w:t>
      </w:r>
      <w:r w:rsidRPr="002271FB">
        <w:rPr>
          <w:b/>
          <w:bCs/>
        </w:rPr>
        <w:t>product B</w:t>
      </w:r>
      <w:r w:rsidRPr="002271FB">
        <w:t xml:space="preserve"> for its operation. </w:t>
      </w:r>
      <w:r w:rsidRPr="002271FB">
        <w:rPr>
          <w:b/>
          <w:bCs/>
        </w:rPr>
        <w:t>Product B</w:t>
      </w:r>
      <w:r w:rsidRPr="002271FB">
        <w:t xml:space="preserve"> may work with other products. The link between </w:t>
      </w:r>
      <w:r w:rsidRPr="002271FB">
        <w:rPr>
          <w:b/>
          <w:bCs/>
        </w:rPr>
        <w:t>product A</w:t>
      </w:r>
      <w:r w:rsidRPr="002271FB">
        <w:t xml:space="preserve"> and </w:t>
      </w:r>
      <w:r w:rsidRPr="002271FB">
        <w:rPr>
          <w:b/>
          <w:bCs/>
        </w:rPr>
        <w:t>B</w:t>
      </w:r>
      <w:r w:rsidRPr="002271FB">
        <w:t xml:space="preserve"> may be either a physical link (e.g. cable) or non-physical (e.g. radio). </w:t>
      </w:r>
    </w:p>
    <w:p w:rsidR="002B01EC" w:rsidRPr="002271FB" w:rsidRDefault="00914030" w:rsidP="00914030">
      <w:pPr>
        <w:pStyle w:val="Balk1"/>
      </w:pPr>
      <w:bookmarkStart w:id="35" w:name="_Toc25029072"/>
      <w:r>
        <w:t>5</w:t>
      </w:r>
      <w:r>
        <w:tab/>
      </w:r>
      <w:r w:rsidR="002B01EC" w:rsidRPr="002271FB">
        <w:t>Application of harmonized standards to combined equipment</w:t>
      </w:r>
      <w:bookmarkEnd w:id="35"/>
    </w:p>
    <w:p w:rsidR="002B01EC" w:rsidRPr="002271FB" w:rsidRDefault="002B01EC" w:rsidP="00914030">
      <w:r w:rsidRPr="002271FB">
        <w:t xml:space="preserve">It is always necessary to perform a conformance assessment for combined equipment under article 3.2 of the </w:t>
      </w:r>
      <w:r w:rsidR="00DF57B2" w:rsidRPr="00DF57B2">
        <w:t>R&amp;TTE</w:t>
      </w:r>
      <w:r w:rsidRPr="00DF57B2">
        <w:t xml:space="preserve"> Directive 1999/5/EC</w:t>
      </w:r>
      <w:r w:rsidR="00567E09" w:rsidRPr="00DF57B2">
        <w:t xml:space="preserve"> [</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However, this assessment may not necessarily lead to testing of the combined equipment.</w:t>
      </w:r>
    </w:p>
    <w:p w:rsidR="002B01EC" w:rsidRPr="002271FB" w:rsidRDefault="002B01EC" w:rsidP="00914030">
      <w:pPr>
        <w:pStyle w:val="Balk2"/>
      </w:pPr>
      <w:bookmarkStart w:id="36" w:name="_Toc25029073"/>
      <w:r w:rsidRPr="002271FB">
        <w:t>5.1</w:t>
      </w:r>
      <w:r w:rsidRPr="002271FB">
        <w:tab/>
        <w:t>Functional dependencies</w:t>
      </w:r>
      <w:bookmarkEnd w:id="36"/>
    </w:p>
    <w:p w:rsidR="002B01EC" w:rsidRPr="002271FB" w:rsidRDefault="002B01EC" w:rsidP="00914030">
      <w:r w:rsidRPr="002271FB">
        <w:t>The following table takes the above scenarios, from clause 4.1, and places them into</w:t>
      </w:r>
      <w:r w:rsidR="00154B62">
        <w:t xml:space="preserve"> </w:t>
      </w:r>
      <w:r w:rsidRPr="002271FB">
        <w:t xml:space="preserve">product combinations which are dependant upon whether the individual products/functions can operate independently of each other. The final column in the table indicates where guidance upon application of harmonized standards can be found. </w:t>
      </w:r>
    </w:p>
    <w:p w:rsidR="002B01EC" w:rsidRDefault="002B01EC" w:rsidP="00914030">
      <w:r w:rsidRPr="002271FB">
        <w:t>Any of the scenarios described in clause 4.1 may be applicable to multi-radio</w:t>
      </w:r>
      <w:r w:rsidR="00154B62">
        <w:t xml:space="preserve"> </w:t>
      </w:r>
      <w:r w:rsidRPr="002271FB">
        <w:t>equipment.</w:t>
      </w:r>
    </w:p>
    <w:p w:rsidR="00914030" w:rsidRPr="002271FB" w:rsidRDefault="00056B21" w:rsidP="00914030">
      <w:pPr>
        <w:pStyle w:val="TH"/>
      </w:pPr>
      <w:r>
        <w:lastRenderedPageBreak/>
        <w:t>Table 1: Functional d</w:t>
      </w:r>
      <w:r w:rsidR="00914030" w:rsidRPr="002271FB">
        <w:t>ependencies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342"/>
        <w:gridCol w:w="1388"/>
        <w:gridCol w:w="1231"/>
        <w:gridCol w:w="1396"/>
        <w:gridCol w:w="1260"/>
        <w:gridCol w:w="2021"/>
        <w:gridCol w:w="6"/>
      </w:tblGrid>
      <w:tr w:rsidR="002B01EC" w:rsidRPr="002271FB">
        <w:tblPrEx>
          <w:tblCellMar>
            <w:top w:w="0" w:type="dxa"/>
            <w:bottom w:w="0" w:type="dxa"/>
          </w:tblCellMar>
        </w:tblPrEx>
        <w:trPr>
          <w:cantSplit/>
          <w:jc w:val="center"/>
        </w:trPr>
        <w:tc>
          <w:tcPr>
            <w:tcW w:w="1342" w:type="dxa"/>
          </w:tcPr>
          <w:p w:rsidR="002B01EC" w:rsidRPr="002271FB" w:rsidRDefault="002B01EC" w:rsidP="00914030">
            <w:pPr>
              <w:pStyle w:val="TAH"/>
            </w:pPr>
          </w:p>
        </w:tc>
        <w:tc>
          <w:tcPr>
            <w:tcW w:w="2619" w:type="dxa"/>
            <w:gridSpan w:val="2"/>
          </w:tcPr>
          <w:p w:rsidR="002B01EC" w:rsidRPr="002271FB" w:rsidRDefault="002B01EC" w:rsidP="00914030">
            <w:pPr>
              <w:pStyle w:val="TAH"/>
            </w:pPr>
            <w:r w:rsidRPr="002271FB">
              <w:t>Product A</w:t>
            </w:r>
          </w:p>
        </w:tc>
        <w:tc>
          <w:tcPr>
            <w:tcW w:w="2656" w:type="dxa"/>
            <w:gridSpan w:val="2"/>
          </w:tcPr>
          <w:p w:rsidR="002B01EC" w:rsidRPr="002271FB" w:rsidRDefault="002B01EC" w:rsidP="00914030">
            <w:pPr>
              <w:pStyle w:val="TAH"/>
            </w:pPr>
            <w:r w:rsidRPr="002271FB">
              <w:t>Product/Function B</w:t>
            </w:r>
          </w:p>
        </w:tc>
        <w:tc>
          <w:tcPr>
            <w:tcW w:w="2027" w:type="dxa"/>
            <w:gridSpan w:val="2"/>
            <w:vMerge w:val="restart"/>
          </w:tcPr>
          <w:p w:rsidR="002B01EC" w:rsidRPr="002271FB" w:rsidRDefault="002B01EC" w:rsidP="00914030">
            <w:pPr>
              <w:pStyle w:val="TAH"/>
            </w:pPr>
            <w:r w:rsidRPr="002271FB">
              <w:t>Reference clause in present document for application of harmonized standards</w:t>
            </w:r>
          </w:p>
        </w:tc>
      </w:tr>
      <w:tr w:rsidR="002B01EC" w:rsidRPr="002271FB">
        <w:tblPrEx>
          <w:tblCellMar>
            <w:top w:w="0" w:type="dxa"/>
            <w:bottom w:w="0" w:type="dxa"/>
          </w:tblCellMar>
        </w:tblPrEx>
        <w:trPr>
          <w:cantSplit/>
          <w:jc w:val="center"/>
        </w:trPr>
        <w:tc>
          <w:tcPr>
            <w:tcW w:w="1342" w:type="dxa"/>
          </w:tcPr>
          <w:p w:rsidR="002B01EC" w:rsidRPr="002271FB" w:rsidRDefault="002B01EC" w:rsidP="00914030">
            <w:pPr>
              <w:pStyle w:val="TAC"/>
            </w:pPr>
          </w:p>
        </w:tc>
        <w:tc>
          <w:tcPr>
            <w:tcW w:w="1388" w:type="dxa"/>
          </w:tcPr>
          <w:p w:rsidR="002B01EC" w:rsidRPr="002271FB" w:rsidRDefault="002B01EC" w:rsidP="00914030">
            <w:pPr>
              <w:pStyle w:val="TAC"/>
            </w:pPr>
            <w:r w:rsidRPr="002271FB">
              <w:t>Works alone</w:t>
            </w:r>
          </w:p>
        </w:tc>
        <w:tc>
          <w:tcPr>
            <w:tcW w:w="1231" w:type="dxa"/>
          </w:tcPr>
          <w:p w:rsidR="002B01EC" w:rsidRPr="002271FB" w:rsidRDefault="002B01EC" w:rsidP="00914030">
            <w:pPr>
              <w:pStyle w:val="TAC"/>
            </w:pPr>
            <w:r w:rsidRPr="002271FB">
              <w:t>Does not work alone</w:t>
            </w:r>
          </w:p>
        </w:tc>
        <w:tc>
          <w:tcPr>
            <w:tcW w:w="1396" w:type="dxa"/>
          </w:tcPr>
          <w:p w:rsidR="002B01EC" w:rsidRPr="002271FB" w:rsidRDefault="002B01EC" w:rsidP="00914030">
            <w:pPr>
              <w:pStyle w:val="TAC"/>
            </w:pPr>
            <w:r w:rsidRPr="002271FB">
              <w:t>Works alone</w:t>
            </w:r>
          </w:p>
        </w:tc>
        <w:tc>
          <w:tcPr>
            <w:tcW w:w="1260" w:type="dxa"/>
          </w:tcPr>
          <w:p w:rsidR="002B01EC" w:rsidRPr="002271FB" w:rsidRDefault="002B01EC" w:rsidP="00914030">
            <w:pPr>
              <w:pStyle w:val="TAC"/>
            </w:pPr>
            <w:r w:rsidRPr="002271FB">
              <w:t>Does not work alone</w:t>
            </w:r>
          </w:p>
        </w:tc>
        <w:tc>
          <w:tcPr>
            <w:tcW w:w="2027" w:type="dxa"/>
            <w:gridSpan w:val="2"/>
            <w:vMerge/>
          </w:tcPr>
          <w:p w:rsidR="002B01EC" w:rsidRPr="002271FB" w:rsidRDefault="002B01EC" w:rsidP="00914030">
            <w:pPr>
              <w:pStyle w:val="TAC"/>
            </w:pPr>
          </w:p>
        </w:tc>
      </w:tr>
      <w:tr w:rsidR="002B01EC" w:rsidRPr="002271FB">
        <w:tblPrEx>
          <w:tblCellMar>
            <w:top w:w="0" w:type="dxa"/>
            <w:bottom w:w="0" w:type="dxa"/>
          </w:tblCellMar>
        </w:tblPrEx>
        <w:trPr>
          <w:jc w:val="center"/>
        </w:trPr>
        <w:tc>
          <w:tcPr>
            <w:tcW w:w="1342" w:type="dxa"/>
          </w:tcPr>
          <w:p w:rsidR="002B01EC" w:rsidRPr="002271FB" w:rsidRDefault="002B01EC" w:rsidP="00914030">
            <w:pPr>
              <w:pStyle w:val="TAH"/>
            </w:pPr>
            <w:r w:rsidRPr="002271FB">
              <w:t>Scenario 1</w:t>
            </w:r>
          </w:p>
        </w:tc>
        <w:tc>
          <w:tcPr>
            <w:tcW w:w="1388" w:type="dxa"/>
          </w:tcPr>
          <w:p w:rsidR="002B01EC" w:rsidRPr="002271FB" w:rsidRDefault="002B01EC" w:rsidP="00914030">
            <w:pPr>
              <w:pStyle w:val="TAC"/>
            </w:pPr>
            <w:r w:rsidRPr="002271FB">
              <w:t>X</w:t>
            </w:r>
          </w:p>
        </w:tc>
        <w:tc>
          <w:tcPr>
            <w:tcW w:w="1231" w:type="dxa"/>
          </w:tcPr>
          <w:p w:rsidR="002B01EC" w:rsidRPr="002271FB" w:rsidRDefault="002B01EC" w:rsidP="00914030">
            <w:pPr>
              <w:pStyle w:val="TAC"/>
            </w:pPr>
          </w:p>
        </w:tc>
        <w:tc>
          <w:tcPr>
            <w:tcW w:w="1396" w:type="dxa"/>
          </w:tcPr>
          <w:p w:rsidR="002B01EC" w:rsidRPr="002271FB" w:rsidRDefault="002B01EC" w:rsidP="00914030">
            <w:pPr>
              <w:pStyle w:val="TAC"/>
            </w:pPr>
            <w:r w:rsidRPr="002271FB">
              <w:t>X</w:t>
            </w:r>
          </w:p>
        </w:tc>
        <w:tc>
          <w:tcPr>
            <w:tcW w:w="1260" w:type="dxa"/>
          </w:tcPr>
          <w:p w:rsidR="002B01EC" w:rsidRPr="002271FB" w:rsidRDefault="002B01EC" w:rsidP="00914030">
            <w:pPr>
              <w:pStyle w:val="TAC"/>
            </w:pPr>
          </w:p>
        </w:tc>
        <w:tc>
          <w:tcPr>
            <w:tcW w:w="2027" w:type="dxa"/>
            <w:gridSpan w:val="2"/>
          </w:tcPr>
          <w:p w:rsidR="002B01EC" w:rsidRPr="002271FB" w:rsidRDefault="002B01EC" w:rsidP="00914030">
            <w:pPr>
              <w:pStyle w:val="TAC"/>
            </w:pPr>
            <w:r w:rsidRPr="002271FB">
              <w:t>6.1 or 6.2</w:t>
            </w:r>
          </w:p>
        </w:tc>
      </w:tr>
      <w:tr w:rsidR="002B01EC" w:rsidRPr="002271FB">
        <w:tblPrEx>
          <w:tblCellMar>
            <w:top w:w="0" w:type="dxa"/>
            <w:bottom w:w="0" w:type="dxa"/>
          </w:tblCellMar>
        </w:tblPrEx>
        <w:trPr>
          <w:jc w:val="center"/>
        </w:trPr>
        <w:tc>
          <w:tcPr>
            <w:tcW w:w="1342" w:type="dxa"/>
          </w:tcPr>
          <w:p w:rsidR="002B01EC" w:rsidRPr="002271FB" w:rsidRDefault="002B01EC" w:rsidP="00914030">
            <w:pPr>
              <w:pStyle w:val="TAH"/>
            </w:pPr>
            <w:r w:rsidRPr="002271FB">
              <w:t>Scenario 2</w:t>
            </w:r>
          </w:p>
        </w:tc>
        <w:tc>
          <w:tcPr>
            <w:tcW w:w="1388" w:type="dxa"/>
          </w:tcPr>
          <w:p w:rsidR="002B01EC" w:rsidRPr="002271FB" w:rsidRDefault="002B01EC" w:rsidP="00914030">
            <w:pPr>
              <w:pStyle w:val="TAC"/>
            </w:pPr>
            <w:r w:rsidRPr="002271FB">
              <w:t>X</w:t>
            </w:r>
          </w:p>
        </w:tc>
        <w:tc>
          <w:tcPr>
            <w:tcW w:w="1231" w:type="dxa"/>
          </w:tcPr>
          <w:p w:rsidR="002B01EC" w:rsidRPr="002271FB" w:rsidRDefault="002B01EC" w:rsidP="00914030">
            <w:pPr>
              <w:pStyle w:val="TAC"/>
            </w:pPr>
          </w:p>
        </w:tc>
        <w:tc>
          <w:tcPr>
            <w:tcW w:w="1396" w:type="dxa"/>
          </w:tcPr>
          <w:p w:rsidR="002B01EC" w:rsidRPr="002271FB" w:rsidRDefault="002B01EC" w:rsidP="00914030">
            <w:pPr>
              <w:pStyle w:val="TAC"/>
            </w:pPr>
          </w:p>
        </w:tc>
        <w:tc>
          <w:tcPr>
            <w:tcW w:w="1260" w:type="dxa"/>
          </w:tcPr>
          <w:p w:rsidR="002B01EC" w:rsidRPr="002271FB" w:rsidRDefault="002B01EC" w:rsidP="00914030">
            <w:pPr>
              <w:pStyle w:val="TAC"/>
            </w:pPr>
            <w:r w:rsidRPr="002271FB">
              <w:t>X</w:t>
            </w:r>
          </w:p>
        </w:tc>
        <w:tc>
          <w:tcPr>
            <w:tcW w:w="2027" w:type="dxa"/>
            <w:gridSpan w:val="2"/>
          </w:tcPr>
          <w:p w:rsidR="002B01EC" w:rsidRPr="002271FB" w:rsidRDefault="002B01EC" w:rsidP="00914030">
            <w:pPr>
              <w:pStyle w:val="TAC"/>
            </w:pPr>
            <w:r w:rsidRPr="002271FB">
              <w:t>6.1 or 6.2 or 6.6</w:t>
            </w:r>
          </w:p>
        </w:tc>
      </w:tr>
      <w:tr w:rsidR="002B01EC" w:rsidRPr="002271FB">
        <w:tblPrEx>
          <w:tblCellMar>
            <w:top w:w="0" w:type="dxa"/>
            <w:bottom w:w="0" w:type="dxa"/>
          </w:tblCellMar>
        </w:tblPrEx>
        <w:trPr>
          <w:jc w:val="center"/>
        </w:trPr>
        <w:tc>
          <w:tcPr>
            <w:tcW w:w="1342" w:type="dxa"/>
          </w:tcPr>
          <w:p w:rsidR="002B01EC" w:rsidRPr="002271FB" w:rsidRDefault="002B01EC" w:rsidP="00914030">
            <w:pPr>
              <w:pStyle w:val="TAH"/>
            </w:pPr>
            <w:r w:rsidRPr="002271FB">
              <w:t>Scenario 3</w:t>
            </w:r>
          </w:p>
        </w:tc>
        <w:tc>
          <w:tcPr>
            <w:tcW w:w="1388" w:type="dxa"/>
          </w:tcPr>
          <w:p w:rsidR="002B01EC" w:rsidRPr="002271FB" w:rsidRDefault="002B01EC" w:rsidP="00914030">
            <w:pPr>
              <w:pStyle w:val="TAC"/>
            </w:pPr>
            <w:r w:rsidRPr="002271FB">
              <w:t>X</w:t>
            </w:r>
          </w:p>
        </w:tc>
        <w:tc>
          <w:tcPr>
            <w:tcW w:w="1231" w:type="dxa"/>
          </w:tcPr>
          <w:p w:rsidR="002B01EC" w:rsidRPr="002271FB" w:rsidRDefault="002B01EC" w:rsidP="00914030">
            <w:pPr>
              <w:pStyle w:val="TAC"/>
            </w:pPr>
          </w:p>
        </w:tc>
        <w:tc>
          <w:tcPr>
            <w:tcW w:w="1396" w:type="dxa"/>
          </w:tcPr>
          <w:p w:rsidR="002B01EC" w:rsidRPr="002271FB" w:rsidRDefault="002B01EC" w:rsidP="00914030">
            <w:pPr>
              <w:pStyle w:val="TAC"/>
            </w:pPr>
          </w:p>
        </w:tc>
        <w:tc>
          <w:tcPr>
            <w:tcW w:w="1260" w:type="dxa"/>
          </w:tcPr>
          <w:p w:rsidR="002B01EC" w:rsidRPr="002271FB" w:rsidRDefault="002B01EC" w:rsidP="00914030">
            <w:pPr>
              <w:pStyle w:val="TAC"/>
            </w:pPr>
            <w:r w:rsidRPr="002271FB">
              <w:t>X</w:t>
            </w:r>
          </w:p>
        </w:tc>
        <w:tc>
          <w:tcPr>
            <w:tcW w:w="2027" w:type="dxa"/>
            <w:gridSpan w:val="2"/>
          </w:tcPr>
          <w:p w:rsidR="002B01EC" w:rsidRPr="002271FB" w:rsidRDefault="002B01EC" w:rsidP="00914030">
            <w:pPr>
              <w:pStyle w:val="TAC"/>
            </w:pPr>
            <w:r w:rsidRPr="002271FB">
              <w:t>6.4 or 6.5</w:t>
            </w:r>
          </w:p>
        </w:tc>
      </w:tr>
      <w:tr w:rsidR="002B01EC" w:rsidRPr="002271FB">
        <w:tblPrEx>
          <w:tblCellMar>
            <w:top w:w="0" w:type="dxa"/>
            <w:bottom w:w="0" w:type="dxa"/>
          </w:tblCellMar>
        </w:tblPrEx>
        <w:trPr>
          <w:jc w:val="center"/>
        </w:trPr>
        <w:tc>
          <w:tcPr>
            <w:tcW w:w="1342" w:type="dxa"/>
          </w:tcPr>
          <w:p w:rsidR="002B01EC" w:rsidRPr="002271FB" w:rsidRDefault="002B01EC" w:rsidP="00914030">
            <w:pPr>
              <w:pStyle w:val="TAH"/>
            </w:pPr>
            <w:r w:rsidRPr="002271FB">
              <w:t>Scenario 4</w:t>
            </w:r>
          </w:p>
        </w:tc>
        <w:tc>
          <w:tcPr>
            <w:tcW w:w="1388" w:type="dxa"/>
          </w:tcPr>
          <w:p w:rsidR="002B01EC" w:rsidRPr="002271FB" w:rsidRDefault="002B01EC" w:rsidP="00914030">
            <w:pPr>
              <w:pStyle w:val="TAC"/>
            </w:pPr>
            <w:r w:rsidRPr="002271FB">
              <w:t>X</w:t>
            </w:r>
          </w:p>
        </w:tc>
        <w:tc>
          <w:tcPr>
            <w:tcW w:w="1231" w:type="dxa"/>
          </w:tcPr>
          <w:p w:rsidR="002B01EC" w:rsidRPr="002271FB" w:rsidRDefault="002B01EC" w:rsidP="00914030">
            <w:pPr>
              <w:pStyle w:val="TAC"/>
            </w:pPr>
          </w:p>
        </w:tc>
        <w:tc>
          <w:tcPr>
            <w:tcW w:w="1396" w:type="dxa"/>
          </w:tcPr>
          <w:p w:rsidR="002B01EC" w:rsidRPr="002271FB" w:rsidRDefault="002B01EC" w:rsidP="00914030">
            <w:pPr>
              <w:pStyle w:val="TAC"/>
            </w:pPr>
          </w:p>
        </w:tc>
        <w:tc>
          <w:tcPr>
            <w:tcW w:w="1260" w:type="dxa"/>
          </w:tcPr>
          <w:p w:rsidR="002B01EC" w:rsidRPr="002271FB" w:rsidRDefault="002B01EC" w:rsidP="00914030">
            <w:pPr>
              <w:pStyle w:val="TAC"/>
            </w:pPr>
            <w:r w:rsidRPr="002271FB">
              <w:t>X</w:t>
            </w:r>
          </w:p>
        </w:tc>
        <w:tc>
          <w:tcPr>
            <w:tcW w:w="2027" w:type="dxa"/>
            <w:gridSpan w:val="2"/>
          </w:tcPr>
          <w:p w:rsidR="002B01EC" w:rsidRPr="002271FB" w:rsidRDefault="002B01EC" w:rsidP="00914030">
            <w:pPr>
              <w:pStyle w:val="TAC"/>
            </w:pPr>
            <w:r w:rsidRPr="002271FB">
              <w:t xml:space="preserve">(6.1 or 6.2 or 6.6) </w:t>
            </w:r>
          </w:p>
          <w:p w:rsidR="002B01EC" w:rsidRPr="002271FB" w:rsidRDefault="002B01EC" w:rsidP="00914030">
            <w:pPr>
              <w:pStyle w:val="TAC"/>
            </w:pPr>
            <w:r w:rsidRPr="002271FB">
              <w:t xml:space="preserve">and </w:t>
            </w:r>
          </w:p>
          <w:p w:rsidR="002B01EC" w:rsidRPr="002271FB" w:rsidRDefault="002B01EC" w:rsidP="00914030">
            <w:pPr>
              <w:pStyle w:val="TAC"/>
            </w:pPr>
            <w:r w:rsidRPr="002271FB">
              <w:t>(6.4 or 6.5)</w:t>
            </w:r>
          </w:p>
        </w:tc>
      </w:tr>
      <w:tr w:rsidR="002B01EC" w:rsidRPr="002271FB">
        <w:tblPrEx>
          <w:tblCellMar>
            <w:top w:w="0" w:type="dxa"/>
            <w:bottom w:w="0" w:type="dxa"/>
          </w:tblCellMar>
        </w:tblPrEx>
        <w:trPr>
          <w:jc w:val="center"/>
        </w:trPr>
        <w:tc>
          <w:tcPr>
            <w:tcW w:w="1342" w:type="dxa"/>
          </w:tcPr>
          <w:p w:rsidR="002B01EC" w:rsidRPr="002271FB" w:rsidRDefault="002B01EC" w:rsidP="00914030">
            <w:pPr>
              <w:pStyle w:val="TAH"/>
            </w:pPr>
            <w:r w:rsidRPr="002271FB">
              <w:t>Scenario 5</w:t>
            </w:r>
          </w:p>
        </w:tc>
        <w:tc>
          <w:tcPr>
            <w:tcW w:w="1388" w:type="dxa"/>
          </w:tcPr>
          <w:p w:rsidR="002B01EC" w:rsidRPr="002271FB" w:rsidRDefault="002B01EC" w:rsidP="00914030">
            <w:pPr>
              <w:pStyle w:val="TAC"/>
            </w:pPr>
            <w:r w:rsidRPr="002271FB">
              <w:t>X</w:t>
            </w:r>
          </w:p>
        </w:tc>
        <w:tc>
          <w:tcPr>
            <w:tcW w:w="1231" w:type="dxa"/>
          </w:tcPr>
          <w:p w:rsidR="002B01EC" w:rsidRPr="002271FB" w:rsidRDefault="002B01EC" w:rsidP="00914030">
            <w:pPr>
              <w:pStyle w:val="TAC"/>
            </w:pPr>
          </w:p>
        </w:tc>
        <w:tc>
          <w:tcPr>
            <w:tcW w:w="1396" w:type="dxa"/>
          </w:tcPr>
          <w:p w:rsidR="002B01EC" w:rsidRPr="002271FB" w:rsidRDefault="002B01EC" w:rsidP="00914030">
            <w:pPr>
              <w:pStyle w:val="TAC"/>
            </w:pPr>
          </w:p>
        </w:tc>
        <w:tc>
          <w:tcPr>
            <w:tcW w:w="1260" w:type="dxa"/>
          </w:tcPr>
          <w:p w:rsidR="002B01EC" w:rsidRPr="002271FB" w:rsidRDefault="002B01EC" w:rsidP="00914030">
            <w:pPr>
              <w:pStyle w:val="TAC"/>
            </w:pPr>
            <w:r w:rsidRPr="002271FB">
              <w:t>X</w:t>
            </w:r>
          </w:p>
        </w:tc>
        <w:tc>
          <w:tcPr>
            <w:tcW w:w="2027" w:type="dxa"/>
            <w:gridSpan w:val="2"/>
          </w:tcPr>
          <w:p w:rsidR="002B01EC" w:rsidRPr="002271FB" w:rsidRDefault="002B01EC" w:rsidP="00914030">
            <w:pPr>
              <w:pStyle w:val="TAC"/>
            </w:pPr>
            <w:r w:rsidRPr="002271FB">
              <w:t>6.3 or 6.6</w:t>
            </w:r>
          </w:p>
        </w:tc>
      </w:tr>
      <w:tr w:rsidR="002B01EC" w:rsidRPr="002271FB">
        <w:tblPrEx>
          <w:tblCellMar>
            <w:top w:w="0" w:type="dxa"/>
            <w:bottom w:w="0" w:type="dxa"/>
          </w:tblCellMar>
        </w:tblPrEx>
        <w:trPr>
          <w:jc w:val="center"/>
        </w:trPr>
        <w:tc>
          <w:tcPr>
            <w:tcW w:w="1342" w:type="dxa"/>
          </w:tcPr>
          <w:p w:rsidR="002B01EC" w:rsidRPr="002271FB" w:rsidRDefault="002B01EC" w:rsidP="00914030">
            <w:pPr>
              <w:pStyle w:val="TAH"/>
            </w:pPr>
            <w:r w:rsidRPr="002271FB">
              <w:t>Scenario 6</w:t>
            </w:r>
          </w:p>
        </w:tc>
        <w:tc>
          <w:tcPr>
            <w:tcW w:w="1388" w:type="dxa"/>
          </w:tcPr>
          <w:p w:rsidR="002B01EC" w:rsidRPr="002271FB" w:rsidRDefault="002B01EC" w:rsidP="00914030">
            <w:pPr>
              <w:pStyle w:val="TAC"/>
            </w:pPr>
          </w:p>
        </w:tc>
        <w:tc>
          <w:tcPr>
            <w:tcW w:w="1231" w:type="dxa"/>
          </w:tcPr>
          <w:p w:rsidR="002B01EC" w:rsidRPr="002271FB" w:rsidRDefault="002B01EC" w:rsidP="00914030">
            <w:pPr>
              <w:pStyle w:val="TAC"/>
            </w:pPr>
            <w:r w:rsidRPr="002271FB">
              <w:t>X</w:t>
            </w:r>
          </w:p>
        </w:tc>
        <w:tc>
          <w:tcPr>
            <w:tcW w:w="1396" w:type="dxa"/>
          </w:tcPr>
          <w:p w:rsidR="002B01EC" w:rsidRPr="002271FB" w:rsidRDefault="002B01EC" w:rsidP="00914030">
            <w:pPr>
              <w:pStyle w:val="TAC"/>
            </w:pPr>
          </w:p>
        </w:tc>
        <w:tc>
          <w:tcPr>
            <w:tcW w:w="1260" w:type="dxa"/>
          </w:tcPr>
          <w:p w:rsidR="002B01EC" w:rsidRPr="002271FB" w:rsidRDefault="002B01EC" w:rsidP="00914030">
            <w:pPr>
              <w:pStyle w:val="TAC"/>
            </w:pPr>
            <w:r w:rsidRPr="002271FB">
              <w:t>X</w:t>
            </w:r>
          </w:p>
        </w:tc>
        <w:tc>
          <w:tcPr>
            <w:tcW w:w="2027" w:type="dxa"/>
            <w:gridSpan w:val="2"/>
          </w:tcPr>
          <w:p w:rsidR="002B01EC" w:rsidRPr="002271FB" w:rsidRDefault="002B01EC" w:rsidP="00914030">
            <w:pPr>
              <w:pStyle w:val="TAC"/>
            </w:pPr>
            <w:r w:rsidRPr="002271FB">
              <w:t>6.3 or 6.6</w:t>
            </w:r>
          </w:p>
        </w:tc>
      </w:tr>
      <w:tr w:rsidR="002B01EC" w:rsidRPr="002271FB">
        <w:tblPrEx>
          <w:tblCellMar>
            <w:top w:w="0" w:type="dxa"/>
            <w:bottom w:w="0" w:type="dxa"/>
          </w:tblCellMar>
        </w:tblPrEx>
        <w:trPr>
          <w:jc w:val="center"/>
        </w:trPr>
        <w:tc>
          <w:tcPr>
            <w:tcW w:w="1342" w:type="dxa"/>
          </w:tcPr>
          <w:p w:rsidR="002B01EC" w:rsidRPr="002271FB" w:rsidRDefault="002B01EC" w:rsidP="00914030">
            <w:pPr>
              <w:pStyle w:val="TAH"/>
            </w:pPr>
            <w:r w:rsidRPr="002271FB">
              <w:t>Scenario 7</w:t>
            </w:r>
          </w:p>
        </w:tc>
        <w:tc>
          <w:tcPr>
            <w:tcW w:w="1388" w:type="dxa"/>
          </w:tcPr>
          <w:p w:rsidR="002B01EC" w:rsidRPr="002271FB" w:rsidRDefault="002B01EC" w:rsidP="00914030">
            <w:pPr>
              <w:pStyle w:val="TAC"/>
            </w:pPr>
          </w:p>
        </w:tc>
        <w:tc>
          <w:tcPr>
            <w:tcW w:w="1231" w:type="dxa"/>
          </w:tcPr>
          <w:p w:rsidR="002B01EC" w:rsidRPr="002271FB" w:rsidRDefault="002B01EC" w:rsidP="00914030">
            <w:pPr>
              <w:pStyle w:val="TAC"/>
            </w:pPr>
            <w:r w:rsidRPr="002271FB">
              <w:t>X</w:t>
            </w:r>
          </w:p>
        </w:tc>
        <w:tc>
          <w:tcPr>
            <w:tcW w:w="1396" w:type="dxa"/>
          </w:tcPr>
          <w:p w:rsidR="002B01EC" w:rsidRPr="002271FB" w:rsidRDefault="002B01EC" w:rsidP="00914030">
            <w:pPr>
              <w:pStyle w:val="TAC"/>
            </w:pPr>
            <w:r w:rsidRPr="002271FB">
              <w:t>X</w:t>
            </w:r>
          </w:p>
        </w:tc>
        <w:tc>
          <w:tcPr>
            <w:tcW w:w="1260" w:type="dxa"/>
          </w:tcPr>
          <w:p w:rsidR="002B01EC" w:rsidRPr="002271FB" w:rsidRDefault="002B01EC" w:rsidP="00914030">
            <w:pPr>
              <w:pStyle w:val="TAC"/>
            </w:pPr>
          </w:p>
        </w:tc>
        <w:tc>
          <w:tcPr>
            <w:tcW w:w="2027" w:type="dxa"/>
            <w:gridSpan w:val="2"/>
          </w:tcPr>
          <w:p w:rsidR="002B01EC" w:rsidRPr="002271FB" w:rsidRDefault="002B01EC" w:rsidP="00914030">
            <w:pPr>
              <w:pStyle w:val="TAC"/>
            </w:pPr>
            <w:r w:rsidRPr="002271FB">
              <w:t>6.4 or 6.5</w:t>
            </w:r>
          </w:p>
        </w:tc>
      </w:tr>
      <w:tr w:rsidR="002B01EC" w:rsidRPr="002271FB">
        <w:tblPrEx>
          <w:tblCellMar>
            <w:top w:w="0" w:type="dxa"/>
            <w:bottom w:w="0" w:type="dxa"/>
          </w:tblCellMar>
        </w:tblPrEx>
        <w:trPr>
          <w:gridAfter w:val="1"/>
          <w:wAfter w:w="6" w:type="dxa"/>
          <w:cantSplit/>
          <w:jc w:val="center"/>
        </w:trPr>
        <w:tc>
          <w:tcPr>
            <w:tcW w:w="8638" w:type="dxa"/>
            <w:gridSpan w:val="6"/>
          </w:tcPr>
          <w:p w:rsidR="002B01EC" w:rsidRPr="002271FB" w:rsidRDefault="00914030" w:rsidP="00914030">
            <w:pPr>
              <w:pStyle w:val="TAN"/>
            </w:pPr>
            <w:r>
              <w:t>NOTE 1:</w:t>
            </w:r>
            <w:r>
              <w:tab/>
            </w:r>
            <w:r w:rsidR="002B01EC" w:rsidRPr="002271FB">
              <w:t xml:space="preserve">Product B can mean more than one product. </w:t>
            </w:r>
          </w:p>
          <w:p w:rsidR="002B01EC" w:rsidRPr="002271FB" w:rsidRDefault="00914030" w:rsidP="00914030">
            <w:pPr>
              <w:pStyle w:val="TAN"/>
            </w:pPr>
            <w:r>
              <w:t xml:space="preserve">NOTE </w:t>
            </w:r>
            <w:r w:rsidR="002B01EC" w:rsidRPr="002271FB">
              <w:t>2</w:t>
            </w:r>
            <w:r>
              <w:t>:</w:t>
            </w:r>
            <w:r>
              <w:tab/>
            </w:r>
            <w:r w:rsidR="002B01EC" w:rsidRPr="002271FB">
              <w:t>Multi-radio equipment</w:t>
            </w:r>
            <w:r w:rsidR="00127E45">
              <w:t xml:space="preserve"> (</w:t>
            </w:r>
            <w:r w:rsidR="002B01EC" w:rsidRPr="002271FB">
              <w:t>clause 6.7</w:t>
            </w:r>
            <w:r w:rsidR="00127E45">
              <w:t>)</w:t>
            </w:r>
            <w:r w:rsidR="002B01EC" w:rsidRPr="002271FB">
              <w:t xml:space="preserve"> should be considered in addition to the identified clause(s) from above. </w:t>
            </w:r>
          </w:p>
        </w:tc>
      </w:tr>
    </w:tbl>
    <w:p w:rsidR="002B01EC" w:rsidRPr="002271FB" w:rsidRDefault="002B01EC"/>
    <w:p w:rsidR="002B01EC" w:rsidRPr="002271FB" w:rsidRDefault="00567E09">
      <w:pPr>
        <w:pStyle w:val="Balk1"/>
      </w:pPr>
      <w:bookmarkStart w:id="37" w:name="_Toc25029074"/>
      <w:r>
        <w:t>6</w:t>
      </w:r>
      <w:r>
        <w:tab/>
      </w:r>
      <w:r w:rsidR="002B01EC" w:rsidRPr="002271FB">
        <w:t xml:space="preserve">Product combinations considered in </w:t>
      </w:r>
      <w:r w:rsidR="008C0802">
        <w:t>the present document</w:t>
      </w:r>
      <w:bookmarkEnd w:id="37"/>
    </w:p>
    <w:p w:rsidR="002B01EC" w:rsidRPr="002271FB" w:rsidRDefault="002B01EC">
      <w:pPr>
        <w:pStyle w:val="Balk2"/>
      </w:pPr>
      <w:bookmarkStart w:id="38" w:name="_Toc25029075"/>
      <w:r w:rsidRPr="002271FB">
        <w:t>6.1</w:t>
      </w:r>
      <w:r w:rsidR="00567E09">
        <w:tab/>
      </w:r>
      <w:r w:rsidRPr="002271FB">
        <w:t>Non-radio products that may accept a plug-in radio module with an integral antenna</w:t>
      </w:r>
      <w:bookmarkEnd w:id="38"/>
      <w:r w:rsidRPr="002271FB">
        <w:t xml:space="preserve"> </w:t>
      </w:r>
    </w:p>
    <w:p w:rsidR="002B01EC" w:rsidRPr="002271FB" w:rsidRDefault="002B01EC" w:rsidP="00914030">
      <w:r w:rsidRPr="002271FB">
        <w:t xml:space="preserve">Where the radio plug-in module is able to be assessed separately, then this module may be declared compliant with article 3.2 of the </w:t>
      </w:r>
      <w:r w:rsidR="00DF57B2" w:rsidRPr="00DF57B2">
        <w:t>R&amp;TTE</w:t>
      </w:r>
      <w:r w:rsidRPr="00DF57B2">
        <w:t xml:space="preserve"> Directive 1999/5/EC</w:t>
      </w:r>
      <w:r w:rsidR="00567E09" w:rsidRPr="00DF57B2">
        <w:t xml:space="preserve"> [</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independently of any potential host product, using the appropriate radio harmonized standard.</w:t>
      </w:r>
      <w:r w:rsidR="00154B62">
        <w:t xml:space="preserve"> </w:t>
      </w:r>
    </w:p>
    <w:p w:rsidR="002B01EC" w:rsidRPr="002271FB" w:rsidRDefault="002B01EC" w:rsidP="00914030">
      <w:r w:rsidRPr="002271FB">
        <w:t>In the above case or</w:t>
      </w:r>
      <w:r w:rsidR="00154B62">
        <w:t xml:space="preserve"> </w:t>
      </w:r>
      <w:r w:rsidRPr="002271FB">
        <w:t>if the</w:t>
      </w:r>
      <w:r w:rsidR="00154B62">
        <w:t xml:space="preserve"> </w:t>
      </w:r>
      <w:r w:rsidRPr="002271FB">
        <w:t>radio plug-in module(s)</w:t>
      </w:r>
      <w:r w:rsidR="00154B62">
        <w:t xml:space="preserve"> </w:t>
      </w:r>
      <w:r w:rsidRPr="002271FB">
        <w:t xml:space="preserve">has been previously assessed to article 3.2 of the </w:t>
      </w:r>
      <w:r w:rsidR="00DF57B2" w:rsidRPr="00DF57B2">
        <w:t>R&amp;TTE</w:t>
      </w:r>
      <w:r w:rsidRPr="00DF57B2">
        <w:t xml:space="preserve"> Directive 1999/5/EC </w:t>
      </w:r>
      <w:r w:rsidR="00567E09" w:rsidRPr="00DF57B2">
        <w:t>[</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and is used according to the</w:t>
      </w:r>
      <w:r w:rsidR="00154B62">
        <w:t xml:space="preserve"> </w:t>
      </w:r>
      <w:r w:rsidR="00CE79C2" w:rsidRPr="002271FB">
        <w:t>manufacturer</w:t>
      </w:r>
      <w:r w:rsidR="00CE79C2">
        <w:t>'</w:t>
      </w:r>
      <w:r w:rsidR="00CE79C2" w:rsidRPr="002271FB">
        <w:t>s</w:t>
      </w:r>
      <w:r w:rsidRPr="002271FB">
        <w:t xml:space="preserve"> instructions,</w:t>
      </w:r>
      <w:r w:rsidR="00154B62">
        <w:t xml:space="preserve"> </w:t>
      </w:r>
      <w:r w:rsidRPr="002271FB">
        <w:t xml:space="preserve">no further assessment of the combined equipment to article 3.2 </w:t>
      </w:r>
      <w:r w:rsidR="00DF57B2" w:rsidRPr="00DF57B2">
        <w:t>R&amp;TTE</w:t>
      </w:r>
      <w:r w:rsidRPr="00DF57B2">
        <w:t xml:space="preserve"> Directive 1999/5/EC </w:t>
      </w:r>
      <w:r w:rsidR="00567E09" w:rsidRPr="00DF57B2">
        <w:t>[</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is required.</w:t>
      </w:r>
    </w:p>
    <w:p w:rsidR="002B01EC" w:rsidRPr="002271FB" w:rsidRDefault="002B01EC" w:rsidP="00914030">
      <w:r w:rsidRPr="002271FB">
        <w:t>It should be noted that assessment does not necessarily lead to testing.</w:t>
      </w:r>
    </w:p>
    <w:p w:rsidR="002B01EC" w:rsidRPr="002271FB" w:rsidRDefault="002B01EC">
      <w:pPr>
        <w:pStyle w:val="Balk2"/>
        <w:ind w:left="1170" w:hanging="1170"/>
      </w:pPr>
      <w:bookmarkStart w:id="39" w:name="_Toc25029076"/>
      <w:r w:rsidRPr="002271FB">
        <w:t>6.2</w:t>
      </w:r>
      <w:r w:rsidR="00914030">
        <w:tab/>
      </w:r>
      <w:r w:rsidRPr="002271FB">
        <w:t>Non-radio products that may accept a plug-in radio module without an integral antenna</w:t>
      </w:r>
      <w:bookmarkEnd w:id="39"/>
      <w:r w:rsidRPr="002271FB">
        <w:t xml:space="preserve"> </w:t>
      </w:r>
    </w:p>
    <w:p w:rsidR="002B01EC" w:rsidRPr="002271FB" w:rsidRDefault="002B01EC" w:rsidP="00914030">
      <w:r w:rsidRPr="002271FB">
        <w:t xml:space="preserve">Where the radio plug-in module is able to be assessed separately, then this module may be declared compliant with article 3.2 of the </w:t>
      </w:r>
      <w:r w:rsidR="00DF57B2" w:rsidRPr="00DF57B2">
        <w:t>R&amp;TTE</w:t>
      </w:r>
      <w:r w:rsidRPr="00DF57B2">
        <w:t xml:space="preserve"> Directive 1999/5/EC</w:t>
      </w:r>
      <w:r w:rsidR="00567E09" w:rsidRPr="00DF57B2">
        <w:t xml:space="preserve"> [</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independently of any potential host product, using the appropriate radio harmonized standard.</w:t>
      </w:r>
      <w:r w:rsidR="00154B62">
        <w:t xml:space="preserve"> </w:t>
      </w:r>
    </w:p>
    <w:p w:rsidR="002B01EC" w:rsidRPr="002271FB" w:rsidRDefault="002B01EC" w:rsidP="00914030">
      <w:r w:rsidRPr="002271FB">
        <w:t>In the above case or</w:t>
      </w:r>
      <w:r w:rsidR="00154B62">
        <w:t xml:space="preserve"> </w:t>
      </w:r>
      <w:r w:rsidRPr="002271FB">
        <w:t>if the</w:t>
      </w:r>
      <w:r w:rsidR="00154B62">
        <w:t xml:space="preserve"> </w:t>
      </w:r>
      <w:r w:rsidRPr="002271FB">
        <w:t>radio plug-in module(s)</w:t>
      </w:r>
      <w:r w:rsidR="00154B62">
        <w:t xml:space="preserve"> </w:t>
      </w:r>
      <w:r w:rsidRPr="002271FB">
        <w:t xml:space="preserve">has been previously assessed to article 3.2 of the </w:t>
      </w:r>
      <w:r w:rsidR="00DF57B2" w:rsidRPr="00DF57B2">
        <w:t>R&amp;TTE</w:t>
      </w:r>
      <w:r w:rsidRPr="00DF57B2">
        <w:t xml:space="preserve"> Directive 1999/5/EC </w:t>
      </w:r>
      <w:r w:rsidR="00567E09" w:rsidRPr="00DF57B2">
        <w:t>[</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and is used according to the</w:t>
      </w:r>
      <w:r w:rsidR="00154B62">
        <w:t xml:space="preserve"> </w:t>
      </w:r>
      <w:r w:rsidR="00CE79C2" w:rsidRPr="002271FB">
        <w:t>manufacturer</w:t>
      </w:r>
      <w:r w:rsidR="00CE79C2">
        <w:t>'</w:t>
      </w:r>
      <w:r w:rsidR="00CE79C2" w:rsidRPr="002271FB">
        <w:t>s</w:t>
      </w:r>
      <w:r w:rsidRPr="002271FB">
        <w:t xml:space="preserve"> instructions,</w:t>
      </w:r>
      <w:r w:rsidR="00154B62">
        <w:t xml:space="preserve"> </w:t>
      </w:r>
      <w:r w:rsidRPr="002271FB">
        <w:t xml:space="preserve">no further assessment of the combined equipment to article 3.2 </w:t>
      </w:r>
      <w:r w:rsidR="00DF57B2" w:rsidRPr="00DF57B2">
        <w:t>R&amp;TTE</w:t>
      </w:r>
      <w:r w:rsidRPr="00DF57B2">
        <w:t xml:space="preserve"> Directive 1999/5/EC </w:t>
      </w:r>
      <w:r w:rsidR="00567E09" w:rsidRPr="00DF57B2">
        <w:t>[</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is required.</w:t>
      </w:r>
    </w:p>
    <w:p w:rsidR="002B01EC" w:rsidRPr="002271FB" w:rsidRDefault="002B01EC" w:rsidP="00914030">
      <w:r w:rsidRPr="002271FB">
        <w:t>However, should a system integrator change the antenna from that used in the init</w:t>
      </w:r>
      <w:r w:rsidR="00056B21">
        <w:t>ial assessment, reassessment to</w:t>
      </w:r>
      <w:r w:rsidR="00056B21">
        <w:br/>
      </w:r>
      <w:r w:rsidRPr="002271FB">
        <w:t xml:space="preserve">article 3.2 of the </w:t>
      </w:r>
      <w:r w:rsidR="00DF57B2" w:rsidRPr="00DF57B2">
        <w:t>R&amp;TTE</w:t>
      </w:r>
      <w:r w:rsidRPr="00DF57B2">
        <w:t xml:space="preserve"> Directive 1999/5/EC </w:t>
      </w:r>
      <w:r w:rsidR="00567E09" w:rsidRPr="00DF57B2">
        <w:t>[</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should be carried out using the appropriate radio harmonized standard.</w:t>
      </w:r>
    </w:p>
    <w:p w:rsidR="002B01EC" w:rsidRPr="002271FB" w:rsidRDefault="002B01EC" w:rsidP="00914030">
      <w:r w:rsidRPr="002271FB">
        <w:t>It should be noted that assessment does not necessarily lead to testing.</w:t>
      </w:r>
    </w:p>
    <w:p w:rsidR="002B01EC" w:rsidRPr="002271FB" w:rsidRDefault="002B01EC">
      <w:pPr>
        <w:pStyle w:val="Balk2"/>
        <w:ind w:left="1136" w:hanging="1136"/>
      </w:pPr>
      <w:bookmarkStart w:id="40" w:name="_Toc25029077"/>
      <w:r w:rsidRPr="002271FB">
        <w:lastRenderedPageBreak/>
        <w:t>6.3</w:t>
      </w:r>
      <w:r w:rsidR="00914030">
        <w:tab/>
      </w:r>
      <w:r w:rsidRPr="002271FB">
        <w:t>Non-radio products that contain an embedded radio functionality</w:t>
      </w:r>
      <w:bookmarkEnd w:id="40"/>
    </w:p>
    <w:p w:rsidR="002B01EC" w:rsidRPr="002271FB" w:rsidRDefault="002B01EC" w:rsidP="00914030">
      <w:r w:rsidRPr="002271FB">
        <w:t xml:space="preserve">Where the embedded radio function cannot operate </w:t>
      </w:r>
      <w:r w:rsidR="00CE79C2" w:rsidRPr="002271FB">
        <w:t>independently from</w:t>
      </w:r>
      <w:r w:rsidRPr="002271FB">
        <w:t xml:space="preserve"> the primary product then the combined equipment should be </w:t>
      </w:r>
      <w:r w:rsidR="00CE79C2" w:rsidRPr="002271FB">
        <w:t>assessed to</w:t>
      </w:r>
      <w:r w:rsidRPr="002271FB">
        <w:t xml:space="preserve"> the harmonized standard relevant for the radio technology util</w:t>
      </w:r>
      <w:r w:rsidR="008C0802">
        <w:t>ize</w:t>
      </w:r>
      <w:r w:rsidRPr="002271FB">
        <w:t xml:space="preserve">d. </w:t>
      </w:r>
    </w:p>
    <w:p w:rsidR="002B01EC" w:rsidRPr="002271FB" w:rsidRDefault="002B01EC" w:rsidP="00914030">
      <w:r w:rsidRPr="002271FB">
        <w:t xml:space="preserve">Alternatively, for radiated spurious emissions in receive and/or standby mode, the harmonized </w:t>
      </w:r>
      <w:r w:rsidR="00DF57B2" w:rsidRPr="00DF57B2">
        <w:t>EMC</w:t>
      </w:r>
      <w:r w:rsidRPr="002271FB">
        <w:t xml:space="preserve"> standard for the primary product may be used. For the remaining parts of the frequency measurement ranges covered by the radio standard, but not the primary product </w:t>
      </w:r>
      <w:r w:rsidR="00DF57B2" w:rsidRPr="00DF57B2">
        <w:t>EMC</w:t>
      </w:r>
      <w:r w:rsidRPr="002271FB">
        <w:t xml:space="preserve"> standard, the requirements in the radio standard should </w:t>
      </w:r>
      <w:r w:rsidR="00CE79C2" w:rsidRPr="002271FB">
        <w:t>be used</w:t>
      </w:r>
      <w:r w:rsidRPr="002271FB">
        <w:t xml:space="preserve"> to demonstrate compliance to article 3.2 of the </w:t>
      </w:r>
      <w:r w:rsidR="00DF57B2" w:rsidRPr="00DF57B2">
        <w:t>R&amp;TTE</w:t>
      </w:r>
      <w:r w:rsidRPr="00DF57B2">
        <w:t xml:space="preserve"> Directive 1999/5/EC</w:t>
      </w:r>
      <w:r w:rsidR="00567E09" w:rsidRPr="00DF57B2">
        <w:t xml:space="preserve"> [</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w:t>
      </w:r>
    </w:p>
    <w:p w:rsidR="002B01EC" w:rsidRPr="002271FB" w:rsidRDefault="002B01EC" w:rsidP="00914030">
      <w:r w:rsidRPr="002271FB">
        <w:t>Further</w:t>
      </w:r>
      <w:r w:rsidR="00154B62">
        <w:t xml:space="preserve"> </w:t>
      </w:r>
      <w:r w:rsidRPr="002271FB">
        <w:t>applications which util</w:t>
      </w:r>
      <w:r w:rsidR="008C0802">
        <w:t>ize</w:t>
      </w:r>
      <w:r w:rsidRPr="002271FB">
        <w:t xml:space="preserve"> the identical radio design, shielding, interface and physical layout should undergo an assessment to ensure continuing compliance is maintained. In this case further testing may not be required as these applications can be regarded as identical in performance to the original application. </w:t>
      </w:r>
    </w:p>
    <w:p w:rsidR="002B01EC" w:rsidRPr="002271FB" w:rsidRDefault="002B01EC" w:rsidP="00914030">
      <w:r w:rsidRPr="002271FB">
        <w:t xml:space="preserve"> Where a system integrator wishes to util</w:t>
      </w:r>
      <w:r w:rsidR="008C0802">
        <w:t>ize</w:t>
      </w:r>
      <w:r w:rsidRPr="002271FB">
        <w:t xml:space="preserve"> an antenna not included in the </w:t>
      </w:r>
      <w:r w:rsidR="00CE79C2" w:rsidRPr="002271FB">
        <w:t>original assessment or</w:t>
      </w:r>
      <w:r w:rsidRPr="002271FB">
        <w:t xml:space="preserve"> changes any other aspect of the original radio design and/or physical layout, then a new assessment should be carried out using the appropriate radio harmonized standard covering article 3.2 of the </w:t>
      </w:r>
      <w:r w:rsidR="00DF57B2" w:rsidRPr="00DF57B2">
        <w:t>R&amp;TTE</w:t>
      </w:r>
      <w:r w:rsidRPr="00DF57B2">
        <w:t xml:space="preserve"> Directive 1999/5/EC</w:t>
      </w:r>
      <w:r w:rsidR="00567E09" w:rsidRPr="00DF57B2">
        <w:t xml:space="preserve"> [</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w:t>
      </w:r>
    </w:p>
    <w:p w:rsidR="002B01EC" w:rsidRPr="002271FB" w:rsidRDefault="002B01EC" w:rsidP="00914030">
      <w:r w:rsidRPr="002271FB">
        <w:t>It should be noted that assessment does not necessarily lead to testing.</w:t>
      </w:r>
    </w:p>
    <w:p w:rsidR="002B01EC" w:rsidRPr="002271FB" w:rsidRDefault="002B01EC">
      <w:pPr>
        <w:pStyle w:val="Balk2"/>
      </w:pPr>
      <w:bookmarkStart w:id="41" w:name="_Toc25029078"/>
      <w:r w:rsidRPr="002271FB">
        <w:t>6.4</w:t>
      </w:r>
      <w:r w:rsidR="00567E09">
        <w:tab/>
      </w:r>
      <w:r w:rsidRPr="002271FB">
        <w:t xml:space="preserve">Radio product with an </w:t>
      </w:r>
      <w:r w:rsidR="00914030">
        <w:t>integral antenna connected to a</w:t>
      </w:r>
      <w:r w:rsidR="00914030">
        <w:br/>
      </w:r>
      <w:r w:rsidRPr="002271FB">
        <w:t>non-radio product</w:t>
      </w:r>
      <w:bookmarkEnd w:id="41"/>
      <w:r w:rsidRPr="002271FB">
        <w:t xml:space="preserve"> </w:t>
      </w:r>
    </w:p>
    <w:p w:rsidR="002B01EC" w:rsidRPr="002271FB" w:rsidRDefault="002B01EC" w:rsidP="00914030">
      <w:r w:rsidRPr="002271FB">
        <w:t xml:space="preserve">Where the radio product is able to be assessed separately, then this product may be declared compliant with article 3.2 of the </w:t>
      </w:r>
      <w:r w:rsidR="00DF57B2" w:rsidRPr="00DF57B2">
        <w:t>R&amp;TTE</w:t>
      </w:r>
      <w:r w:rsidRPr="00DF57B2">
        <w:t xml:space="preserve"> Directive 1999/5/EC</w:t>
      </w:r>
      <w:r w:rsidR="00567E09" w:rsidRPr="00DF57B2">
        <w:t xml:space="preserve"> [</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independently of any connected product, using the appropriate radio harmonized standard.</w:t>
      </w:r>
      <w:r w:rsidR="00154B62">
        <w:t xml:space="preserve"> </w:t>
      </w:r>
    </w:p>
    <w:p w:rsidR="002B01EC" w:rsidRPr="002271FB" w:rsidRDefault="002B01EC" w:rsidP="00914030">
      <w:r w:rsidRPr="002271FB">
        <w:t>In the above case or</w:t>
      </w:r>
      <w:r w:rsidR="00154B62">
        <w:t xml:space="preserve"> </w:t>
      </w:r>
      <w:r w:rsidRPr="002271FB">
        <w:t>if the</w:t>
      </w:r>
      <w:r w:rsidR="00154B62">
        <w:t xml:space="preserve"> </w:t>
      </w:r>
      <w:r w:rsidRPr="002271FB">
        <w:t>radio product(s)</w:t>
      </w:r>
      <w:r w:rsidR="00154B62">
        <w:t xml:space="preserve"> </w:t>
      </w:r>
      <w:r w:rsidRPr="002271FB">
        <w:t xml:space="preserve">has been previously assessed to article 3.2 of the </w:t>
      </w:r>
      <w:r w:rsidR="00DF57B2" w:rsidRPr="00DF57B2">
        <w:t>R&amp;TTE</w:t>
      </w:r>
      <w:r w:rsidRPr="00DF57B2">
        <w:t xml:space="preserve"> Directive 1999/5/EC </w:t>
      </w:r>
      <w:r w:rsidR="00567E09" w:rsidRPr="00DF57B2">
        <w:t>[</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and is used according to the</w:t>
      </w:r>
      <w:r w:rsidR="00154B62">
        <w:t xml:space="preserve"> </w:t>
      </w:r>
      <w:r w:rsidR="00CE79C2" w:rsidRPr="002271FB">
        <w:t>manufacturer</w:t>
      </w:r>
      <w:r w:rsidR="00CE79C2">
        <w:t>'</w:t>
      </w:r>
      <w:r w:rsidR="00CE79C2" w:rsidRPr="002271FB">
        <w:t>s</w:t>
      </w:r>
      <w:r w:rsidRPr="002271FB">
        <w:t xml:space="preserve"> instructions,</w:t>
      </w:r>
      <w:r w:rsidR="00154B62">
        <w:t xml:space="preserve"> </w:t>
      </w:r>
      <w:r w:rsidRPr="002271FB">
        <w:t xml:space="preserve">no further assessment of the combined equipment to article 3.2 </w:t>
      </w:r>
      <w:r w:rsidR="00DF57B2" w:rsidRPr="00DF57B2">
        <w:t>R&amp;TTE</w:t>
      </w:r>
      <w:r w:rsidRPr="00DF57B2">
        <w:t xml:space="preserve"> Directive 1999/5/EC </w:t>
      </w:r>
      <w:r w:rsidR="00567E09" w:rsidRPr="00DF57B2">
        <w:t>[</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is required.</w:t>
      </w:r>
    </w:p>
    <w:p w:rsidR="002B01EC" w:rsidRPr="002271FB" w:rsidRDefault="002B01EC" w:rsidP="00914030">
      <w:r w:rsidRPr="002271FB">
        <w:t>It should be noted that assessment does not necessarily lead to testing.</w:t>
      </w:r>
    </w:p>
    <w:p w:rsidR="002B01EC" w:rsidRPr="002271FB" w:rsidRDefault="002B01EC">
      <w:pPr>
        <w:pStyle w:val="Balk2"/>
      </w:pPr>
      <w:bookmarkStart w:id="42" w:name="_Toc25029079"/>
      <w:r w:rsidRPr="002271FB">
        <w:t>6.5</w:t>
      </w:r>
      <w:r w:rsidR="00567E09">
        <w:tab/>
      </w:r>
      <w:r w:rsidRPr="002271FB">
        <w:t>Radio product without an integral antenna connected to a non-radio product</w:t>
      </w:r>
      <w:bookmarkEnd w:id="42"/>
    </w:p>
    <w:p w:rsidR="002B01EC" w:rsidRPr="002271FB" w:rsidRDefault="002B01EC" w:rsidP="00914030">
      <w:r w:rsidRPr="002271FB">
        <w:t xml:space="preserve">Where the radio product is able to be assessed separately, then this product may be declared compliant with article 3.2 of the </w:t>
      </w:r>
      <w:r w:rsidR="00DF57B2" w:rsidRPr="00DF57B2">
        <w:t>R&amp;TTE</w:t>
      </w:r>
      <w:r w:rsidRPr="00DF57B2">
        <w:t xml:space="preserve"> Directive 1999/5/EC</w:t>
      </w:r>
      <w:r w:rsidR="00567E09" w:rsidRPr="00DF57B2">
        <w:t xml:space="preserve"> [</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independently of any connected product, using the appropriate radio harmonized standard.</w:t>
      </w:r>
      <w:r w:rsidR="00154B62">
        <w:t xml:space="preserve"> </w:t>
      </w:r>
    </w:p>
    <w:p w:rsidR="002B01EC" w:rsidRPr="002271FB" w:rsidRDefault="002B01EC" w:rsidP="00914030">
      <w:r w:rsidRPr="002271FB">
        <w:t>In the above case or</w:t>
      </w:r>
      <w:r w:rsidR="00154B62">
        <w:t xml:space="preserve"> </w:t>
      </w:r>
      <w:r w:rsidRPr="002271FB">
        <w:t>if the</w:t>
      </w:r>
      <w:r w:rsidR="00154B62">
        <w:t xml:space="preserve"> </w:t>
      </w:r>
      <w:r w:rsidRPr="002271FB">
        <w:t>radio product(s)</w:t>
      </w:r>
      <w:r w:rsidR="00154B62">
        <w:t xml:space="preserve"> </w:t>
      </w:r>
      <w:r w:rsidRPr="002271FB">
        <w:t xml:space="preserve">has been previously assessed to article 3.2 of the </w:t>
      </w:r>
      <w:r w:rsidR="00DF57B2" w:rsidRPr="00DF57B2">
        <w:t>R&amp;TTE</w:t>
      </w:r>
      <w:r w:rsidRPr="00DF57B2">
        <w:t xml:space="preserve"> Directive 1999/5/EC </w:t>
      </w:r>
      <w:r w:rsidR="00567E09" w:rsidRPr="00DF57B2">
        <w:t>[</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and is used according to the</w:t>
      </w:r>
      <w:r w:rsidR="00154B62">
        <w:t xml:space="preserve"> </w:t>
      </w:r>
      <w:r w:rsidR="00CE79C2" w:rsidRPr="002271FB">
        <w:t>manufacturer</w:t>
      </w:r>
      <w:r w:rsidR="00CE79C2">
        <w:t>'</w:t>
      </w:r>
      <w:r w:rsidR="00CE79C2" w:rsidRPr="002271FB">
        <w:t>s</w:t>
      </w:r>
      <w:r w:rsidRPr="002271FB">
        <w:t xml:space="preserve"> instructions,</w:t>
      </w:r>
      <w:r w:rsidR="00154B62">
        <w:t xml:space="preserve"> </w:t>
      </w:r>
      <w:r w:rsidRPr="002271FB">
        <w:t xml:space="preserve">no further assessment of the combined equipment to article 3.2 </w:t>
      </w:r>
      <w:r w:rsidR="00DF57B2" w:rsidRPr="00DF57B2">
        <w:t>R&amp;TTE</w:t>
      </w:r>
      <w:r w:rsidRPr="00DF57B2">
        <w:t xml:space="preserve"> Directive 1999/5/EC </w:t>
      </w:r>
      <w:r w:rsidR="00567E09" w:rsidRPr="00DF57B2">
        <w:t>[</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is required.</w:t>
      </w:r>
    </w:p>
    <w:p w:rsidR="002B01EC" w:rsidRPr="002271FB" w:rsidRDefault="002B01EC" w:rsidP="00914030">
      <w:r w:rsidRPr="002271FB">
        <w:t>However, should a system integrator change the antenna from that used in the initial assessment, reassessm</w:t>
      </w:r>
      <w:r w:rsidR="00154B62">
        <w:t>ent to</w:t>
      </w:r>
      <w:r w:rsidR="00154B62">
        <w:br/>
      </w:r>
      <w:r w:rsidRPr="002271FB">
        <w:t xml:space="preserve">article 3.2 of the </w:t>
      </w:r>
      <w:r w:rsidR="00DF57B2" w:rsidRPr="00DF57B2">
        <w:t>R&amp;TTE</w:t>
      </w:r>
      <w:r w:rsidRPr="00DF57B2">
        <w:t xml:space="preserve"> Directive 1999/5/EC </w:t>
      </w:r>
      <w:r w:rsidR="00567E09" w:rsidRPr="00DF57B2">
        <w:t>[</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 xml:space="preserve"> should be carried out using the appropriate radio harmonized standard. </w:t>
      </w:r>
    </w:p>
    <w:p w:rsidR="002B01EC" w:rsidRPr="002271FB" w:rsidRDefault="002B01EC" w:rsidP="00914030">
      <w:r w:rsidRPr="002271FB">
        <w:t>It should be noted that assessment does not necessarily lead to testing.</w:t>
      </w:r>
    </w:p>
    <w:p w:rsidR="002B01EC" w:rsidRPr="002271FB" w:rsidRDefault="002B01EC" w:rsidP="003F7A6C">
      <w:pPr>
        <w:pStyle w:val="Balk2"/>
      </w:pPr>
      <w:bookmarkStart w:id="43" w:name="_Toc25029080"/>
      <w:r w:rsidRPr="002271FB">
        <w:lastRenderedPageBreak/>
        <w:t>6.6</w:t>
      </w:r>
      <w:r w:rsidR="00914030">
        <w:tab/>
      </w:r>
      <w:r w:rsidRPr="002271FB">
        <w:t>Radio products that contain a non-radio function or plug-in module</w:t>
      </w:r>
      <w:bookmarkEnd w:id="43"/>
    </w:p>
    <w:p w:rsidR="002B01EC" w:rsidRPr="002271FB" w:rsidRDefault="002B01EC" w:rsidP="003F7A6C">
      <w:pPr>
        <w:keepNext/>
      </w:pPr>
      <w:r w:rsidRPr="002271FB">
        <w:t xml:space="preserve">When a non radio plug-in module or function is embedded into a radio product, </w:t>
      </w:r>
      <w:r w:rsidR="00154B62">
        <w:t>the combined equipment shall be</w:t>
      </w:r>
      <w:r w:rsidR="00154B62">
        <w:br/>
      </w:r>
      <w:r w:rsidRPr="002271FB">
        <w:t xml:space="preserve">re-assessed to ensure that the combined equipment maintains compliance </w:t>
      </w:r>
      <w:r w:rsidR="00CE79C2" w:rsidRPr="002271FB">
        <w:t>with the</w:t>
      </w:r>
      <w:r w:rsidRPr="002271FB">
        <w:t xml:space="preserve"> relevant harmonized radio product standard used to demonstrate compliance with article 3.2 of the </w:t>
      </w:r>
      <w:r w:rsidR="00DF57B2" w:rsidRPr="00DF57B2">
        <w:t>R&amp;TTE</w:t>
      </w:r>
      <w:r w:rsidRPr="00DF57B2">
        <w:t xml:space="preserve"> Directive</w:t>
      </w:r>
      <w:r w:rsidR="00567E09" w:rsidRPr="00DF57B2">
        <w:t xml:space="preserve"> [</w:t>
      </w:r>
      <w:r w:rsidR="00567E09" w:rsidRPr="00DF57B2">
        <w:fldChar w:fldCharType="begin"/>
      </w:r>
      <w:r w:rsidR="00567E09" w:rsidRPr="00DF57B2">
        <w:instrText>REF REF_19995EC</w:instrText>
      </w:r>
      <w:r w:rsidR="003F7A6C">
        <w:instrText xml:space="preserve"> \* MERGEFORMAT </w:instrText>
      </w:r>
      <w:r w:rsidR="00567E09" w:rsidRPr="00DF57B2">
        <w:fldChar w:fldCharType="separate"/>
      </w:r>
      <w:r w:rsidR="00B87D23">
        <w:rPr>
          <w:noProof/>
        </w:rPr>
        <w:t>1</w:t>
      </w:r>
      <w:r w:rsidR="00567E09" w:rsidRPr="00DF57B2">
        <w:fldChar w:fldCharType="end"/>
      </w:r>
      <w:r w:rsidR="00567E09" w:rsidRPr="00DF57B2">
        <w:t>]</w:t>
      </w:r>
      <w:r w:rsidRPr="002271FB">
        <w:t xml:space="preserve">. </w:t>
      </w:r>
    </w:p>
    <w:p w:rsidR="002B01EC" w:rsidRPr="002271FB" w:rsidRDefault="002B01EC" w:rsidP="00914030">
      <w:r w:rsidRPr="002271FB">
        <w:t>It should be noted that assessment does not necessarily lead to testing.</w:t>
      </w:r>
    </w:p>
    <w:p w:rsidR="002B01EC" w:rsidRPr="002271FB" w:rsidRDefault="002B01EC" w:rsidP="00914030">
      <w:pPr>
        <w:pStyle w:val="Balk2"/>
      </w:pPr>
      <w:bookmarkStart w:id="44" w:name="_Toc25029081"/>
      <w:r w:rsidRPr="002271FB">
        <w:t>6.7</w:t>
      </w:r>
      <w:r w:rsidR="00567E09">
        <w:tab/>
      </w:r>
      <w:r w:rsidRPr="002271FB">
        <w:t>Multi-</w:t>
      </w:r>
      <w:r w:rsidR="00056B21">
        <w:t>r</w:t>
      </w:r>
      <w:r w:rsidRPr="002271FB">
        <w:t>adio equipment</w:t>
      </w:r>
      <w:bookmarkEnd w:id="44"/>
    </w:p>
    <w:p w:rsidR="002B01EC" w:rsidRPr="002271FB" w:rsidRDefault="002B01EC" w:rsidP="00914030">
      <w:r w:rsidRPr="002271FB">
        <w:t xml:space="preserve">The applicable requirements and limits for </w:t>
      </w:r>
      <w:r w:rsidR="00056B21">
        <w:t>m</w:t>
      </w:r>
      <w:r w:rsidRPr="002271FB">
        <w:t>ulti-radio equipment are those set out in the relevant harmonized radio product standards. It should be noted that in the majority of cases the levels for spurious emissions set out in harmonized standards for radio equipment are identical.</w:t>
      </w:r>
    </w:p>
    <w:p w:rsidR="002B01EC" w:rsidRPr="002271FB" w:rsidRDefault="002B01EC" w:rsidP="00914030">
      <w:r w:rsidRPr="002271FB">
        <w:t xml:space="preserve">When measuring spurious emissions in the receive and/or standby mode, it is essential that none of the transmitters within the combined equipment are transmitting. </w:t>
      </w:r>
    </w:p>
    <w:p w:rsidR="002B01EC" w:rsidRPr="002271FB" w:rsidRDefault="002B01EC">
      <w:pPr>
        <w:pStyle w:val="Balk3"/>
      </w:pPr>
      <w:bookmarkStart w:id="45" w:name="_Toc25029082"/>
      <w:r w:rsidRPr="002271FB">
        <w:t>6.7.1</w:t>
      </w:r>
      <w:r w:rsidRPr="002271FB">
        <w:tab/>
        <w:t>The spurious emissions from each radio can be identified</w:t>
      </w:r>
      <w:bookmarkEnd w:id="45"/>
      <w:r w:rsidRPr="002271FB">
        <w:t xml:space="preserve"> </w:t>
      </w:r>
    </w:p>
    <w:p w:rsidR="002B01EC" w:rsidRPr="002271FB" w:rsidRDefault="002B01EC" w:rsidP="00914030">
      <w:r w:rsidRPr="002271FB">
        <w:t xml:space="preserve">Where the spurious emissions from each radio can be identified, then the spurious emissions from each radio </w:t>
      </w:r>
      <w:r w:rsidR="00CE79C2" w:rsidRPr="002271FB">
        <w:t>are assessed</w:t>
      </w:r>
      <w:r w:rsidRPr="002271FB">
        <w:t xml:space="preserve"> to the </w:t>
      </w:r>
      <w:r w:rsidR="00CE79C2" w:rsidRPr="002271FB">
        <w:t>relevant harmonized</w:t>
      </w:r>
      <w:r w:rsidRPr="002271FB">
        <w:t xml:space="preserve"> radio standard.</w:t>
      </w:r>
      <w:r w:rsidR="00154B62">
        <w:t xml:space="preserve"> </w:t>
      </w:r>
    </w:p>
    <w:p w:rsidR="002B01EC" w:rsidRPr="002271FB" w:rsidRDefault="002B01EC" w:rsidP="00914030">
      <w:r w:rsidRPr="002271FB">
        <w:t>It should be noted that assessment does not necessarily lead to testing.</w:t>
      </w:r>
    </w:p>
    <w:p w:rsidR="002B01EC" w:rsidRPr="002271FB" w:rsidRDefault="00567E09" w:rsidP="00914030">
      <w:pPr>
        <w:pStyle w:val="Balk3"/>
      </w:pPr>
      <w:bookmarkStart w:id="46" w:name="_Toc25029083"/>
      <w:r>
        <w:t>6.7.2</w:t>
      </w:r>
      <w:r w:rsidR="002B01EC" w:rsidRPr="002271FB">
        <w:tab/>
        <w:t>The spurious emissions from each radio cannot be identified</w:t>
      </w:r>
      <w:bookmarkEnd w:id="46"/>
      <w:r w:rsidR="002B01EC" w:rsidRPr="002271FB">
        <w:t xml:space="preserve"> </w:t>
      </w:r>
    </w:p>
    <w:p w:rsidR="002B01EC" w:rsidRPr="002271FB" w:rsidRDefault="00CE79C2" w:rsidP="00914030">
      <w:r w:rsidRPr="002271FB">
        <w:t>Where the</w:t>
      </w:r>
      <w:r w:rsidR="002B01EC" w:rsidRPr="002271FB">
        <w:t xml:space="preserve"> spurious emissions from each radio cannot be identified, then the combined equipment is assessed to the spurious emission requirements contained in all of the relevant harmonized radio standards applicable to the radios contained within the combined product.</w:t>
      </w:r>
      <w:r w:rsidR="00154B62">
        <w:t xml:space="preserve"> </w:t>
      </w:r>
    </w:p>
    <w:p w:rsidR="002B01EC" w:rsidRPr="002271FB" w:rsidRDefault="002B01EC" w:rsidP="00914030">
      <w:r w:rsidRPr="002271FB">
        <w:t xml:space="preserve">Where the </w:t>
      </w:r>
      <w:r w:rsidR="00CE79C2" w:rsidRPr="002271FB">
        <w:t>applicable harmonized</w:t>
      </w:r>
      <w:r w:rsidRPr="002271FB">
        <w:t xml:space="preserve"> radio standards contain </w:t>
      </w:r>
      <w:r w:rsidR="00CE79C2" w:rsidRPr="002271FB">
        <w:t>different limits</w:t>
      </w:r>
      <w:r w:rsidRPr="002271FB">
        <w:t xml:space="preserve"> and measuring conditions, then the combined product is assessed to the harmonized radio standard </w:t>
      </w:r>
      <w:r w:rsidR="00CE79C2" w:rsidRPr="002271FB">
        <w:t>that specifies</w:t>
      </w:r>
      <w:r w:rsidRPr="002271FB">
        <w:t xml:space="preserve"> the least stringent limits for the common part of the frequency measurement ranges.</w:t>
      </w:r>
      <w:r w:rsidR="00154B62">
        <w:t xml:space="preserve"> </w:t>
      </w:r>
      <w:r w:rsidRPr="002271FB">
        <w:t xml:space="preserve">To </w:t>
      </w:r>
      <w:r w:rsidR="00CE79C2" w:rsidRPr="002271FB">
        <w:t>assess the</w:t>
      </w:r>
      <w:r w:rsidRPr="002271FB">
        <w:t xml:space="preserve"> remaining parts of the frequency measurement ranges the limits from the relevant harmonized radio standard should be used. </w:t>
      </w:r>
    </w:p>
    <w:p w:rsidR="002B01EC" w:rsidRPr="002271FB" w:rsidRDefault="002B01EC" w:rsidP="00914030">
      <w:r w:rsidRPr="002271FB">
        <w:t>It should be noted that assessment does not necessarily lead to testing.</w:t>
      </w:r>
    </w:p>
    <w:p w:rsidR="002B01EC" w:rsidRPr="002271FB" w:rsidRDefault="00567E09">
      <w:pPr>
        <w:pStyle w:val="Balk1"/>
      </w:pPr>
      <w:bookmarkStart w:id="47" w:name="_Toc25029084"/>
      <w:r>
        <w:t>7</w:t>
      </w:r>
      <w:r>
        <w:tab/>
      </w:r>
      <w:r w:rsidR="002B01EC" w:rsidRPr="002271FB">
        <w:t xml:space="preserve">Harmonized </w:t>
      </w:r>
      <w:r w:rsidR="00056B21">
        <w:t>r</w:t>
      </w:r>
      <w:r w:rsidR="002B01EC" w:rsidRPr="002271FB">
        <w:t xml:space="preserve">adio </w:t>
      </w:r>
      <w:r w:rsidR="00056B21">
        <w:t>p</w:t>
      </w:r>
      <w:r w:rsidR="00CE79C2" w:rsidRPr="002271FB">
        <w:t>roduct standards</w:t>
      </w:r>
      <w:bookmarkEnd w:id="47"/>
    </w:p>
    <w:p w:rsidR="002B01EC" w:rsidRPr="002271FB" w:rsidRDefault="002B01EC" w:rsidP="00914030">
      <w:r w:rsidRPr="002271FB">
        <w:t>The relevant harmonized radio product standard for the specific radio service/</w:t>
      </w:r>
      <w:r w:rsidR="00CE79C2" w:rsidRPr="002271FB">
        <w:t>product</w:t>
      </w:r>
      <w:r w:rsidRPr="002271FB">
        <w:t xml:space="preserve"> should be selected from the list of radio standards published in the EC official journal, under article 3.2 of the </w:t>
      </w:r>
      <w:r w:rsidR="00DF57B2" w:rsidRPr="00DF57B2">
        <w:t>R&amp;TTE</w:t>
      </w:r>
      <w:r w:rsidRPr="00DF57B2">
        <w:t xml:space="preserve"> Directive 1999/5/EC</w:t>
      </w:r>
      <w:r w:rsidR="00567E09" w:rsidRPr="00DF57B2">
        <w:t xml:space="preserve"> [</w:t>
      </w:r>
      <w:r w:rsidR="00567E09" w:rsidRPr="00DF57B2">
        <w:fldChar w:fldCharType="begin"/>
      </w:r>
      <w:r w:rsidR="00567E09" w:rsidRPr="00DF57B2">
        <w:instrText>REF REF_19995EC</w:instrText>
      </w:r>
      <w:r w:rsidR="00567E09" w:rsidRPr="00DF57B2">
        <w:fldChar w:fldCharType="separate"/>
      </w:r>
      <w:r w:rsidR="00B87D23">
        <w:rPr>
          <w:noProof/>
        </w:rPr>
        <w:t>1</w:t>
      </w:r>
      <w:r w:rsidR="00567E09" w:rsidRPr="00DF57B2">
        <w:fldChar w:fldCharType="end"/>
      </w:r>
      <w:r w:rsidR="00567E09" w:rsidRPr="00DF57B2">
        <w:t>]</w:t>
      </w:r>
      <w:r w:rsidRPr="002271FB">
        <w:t>.</w:t>
      </w:r>
    </w:p>
    <w:p w:rsidR="002B01EC" w:rsidRPr="002271FB" w:rsidRDefault="002B01EC" w:rsidP="00914030">
      <w:r w:rsidRPr="002271FB">
        <w:t xml:space="preserve">The radio </w:t>
      </w:r>
      <w:r w:rsidR="00CE79C2" w:rsidRPr="002271FB">
        <w:t>product standard</w:t>
      </w:r>
      <w:r w:rsidRPr="002271FB">
        <w:t xml:space="preserve"> may be selected for a specific radio service and/or type of product used in that service.</w:t>
      </w:r>
    </w:p>
    <w:p w:rsidR="002B01EC" w:rsidRPr="002271FB" w:rsidRDefault="002B01EC">
      <w:pPr>
        <w:pStyle w:val="Balk8"/>
        <w:sectPr w:rsidR="002B01EC" w:rsidRPr="002271FB" w:rsidSect="00127E45">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nextColumn"/>
          <w:pgSz w:w="11907" w:h="16840" w:code="9"/>
          <w:pgMar w:top="1411" w:right="1138" w:bottom="1138" w:left="1138" w:header="850" w:footer="346" w:gutter="0"/>
          <w:pgNumType w:start="2"/>
          <w:cols w:space="708"/>
          <w:titlePg/>
          <w:docGrid w:linePitch="272"/>
        </w:sectPr>
      </w:pPr>
    </w:p>
    <w:p w:rsidR="002B01EC" w:rsidRPr="002271FB" w:rsidRDefault="002B01EC" w:rsidP="00056B21">
      <w:pPr>
        <w:pStyle w:val="Balk9"/>
      </w:pPr>
      <w:bookmarkStart w:id="48" w:name="_Toc25029085"/>
      <w:r w:rsidRPr="002271FB">
        <w:lastRenderedPageBreak/>
        <w:t>Annex A</w:t>
      </w:r>
      <w:r w:rsidR="00D96E2A">
        <w:t>:</w:t>
      </w:r>
      <w:r w:rsidR="00D96E2A">
        <w:br/>
      </w:r>
      <w:r w:rsidRPr="002271FB">
        <w:t>Examples of various type of combined equipment</w:t>
      </w:r>
      <w:bookmarkEnd w:id="48"/>
    </w:p>
    <w:p w:rsidR="002B01EC" w:rsidRPr="002271FB" w:rsidRDefault="002B01EC">
      <w:pPr>
        <w:pStyle w:val="Balk1"/>
      </w:pPr>
      <w:bookmarkStart w:id="49" w:name="_Toc25029086"/>
      <w:r w:rsidRPr="002271FB">
        <w:t>A.1</w:t>
      </w:r>
      <w:r w:rsidRPr="002271FB">
        <w:tab/>
        <w:t xml:space="preserve">Examples </w:t>
      </w:r>
      <w:r w:rsidR="00056B21">
        <w:t>s</w:t>
      </w:r>
      <w:r w:rsidRPr="002271FB">
        <w:t xml:space="preserve">cenario 1 </w:t>
      </w:r>
      <w:r w:rsidR="00C337CD">
        <w:t>p</w:t>
      </w:r>
      <w:r w:rsidRPr="002271FB">
        <w:t>roducts</w:t>
      </w:r>
      <w:bookmarkEnd w:id="49"/>
    </w:p>
    <w:p w:rsidR="002B01EC" w:rsidRPr="002271FB" w:rsidRDefault="00DF57B2" w:rsidP="00914030">
      <w:r w:rsidRPr="00DF57B2">
        <w:t>GPRS</w:t>
      </w:r>
      <w:r w:rsidR="002B01EC" w:rsidRPr="002271FB">
        <w:t xml:space="preserve"> Base station: Constructed by combining an existing </w:t>
      </w:r>
      <w:r w:rsidRPr="00DF57B2">
        <w:t>GSM</w:t>
      </w:r>
      <w:r w:rsidR="002B01EC" w:rsidRPr="002271FB">
        <w:t xml:space="preserve"> base station with and an existing IP enabled digital switch in a single enclosure. </w:t>
      </w:r>
    </w:p>
    <w:p w:rsidR="002B01EC" w:rsidRPr="002271FB" w:rsidRDefault="002B01EC">
      <w:pPr>
        <w:pStyle w:val="Balk1"/>
      </w:pPr>
      <w:bookmarkStart w:id="50" w:name="_Toc25029087"/>
      <w:r w:rsidRPr="002271FB">
        <w:t>A.2</w:t>
      </w:r>
      <w:r w:rsidRPr="002271FB">
        <w:tab/>
        <w:t xml:space="preserve">Examples </w:t>
      </w:r>
      <w:r w:rsidR="00056B21">
        <w:t>s</w:t>
      </w:r>
      <w:r w:rsidRPr="002271FB">
        <w:t xml:space="preserve">cenario 2 </w:t>
      </w:r>
      <w:r w:rsidR="00C337CD">
        <w:t>p</w:t>
      </w:r>
      <w:r w:rsidRPr="002271FB">
        <w:t>roducts</w:t>
      </w:r>
      <w:bookmarkEnd w:id="50"/>
    </w:p>
    <w:p w:rsidR="002B01EC" w:rsidRPr="002271FB" w:rsidRDefault="00DF57B2" w:rsidP="00914030">
      <w:r w:rsidRPr="00DF57B2">
        <w:t>PC</w:t>
      </w:r>
      <w:r w:rsidR="002B01EC" w:rsidRPr="002271FB">
        <w:t xml:space="preserve"> with plug in Radio </w:t>
      </w:r>
      <w:r w:rsidRPr="00DF57B2">
        <w:t>LAN</w:t>
      </w:r>
      <w:r w:rsidR="002B01EC" w:rsidRPr="002271FB">
        <w:t xml:space="preserve"> card; where Radio </w:t>
      </w:r>
      <w:r w:rsidRPr="00DF57B2">
        <w:t>LAN</w:t>
      </w:r>
      <w:r w:rsidR="002B01EC" w:rsidRPr="002271FB">
        <w:t xml:space="preserve"> card relies upon the </w:t>
      </w:r>
      <w:r w:rsidRPr="00DF57B2">
        <w:t>PC</w:t>
      </w:r>
      <w:r w:rsidR="002B01EC" w:rsidRPr="002271FB">
        <w:t xml:space="preserve"> for control and power supply.</w:t>
      </w:r>
    </w:p>
    <w:p w:rsidR="002B01EC" w:rsidRPr="002271FB" w:rsidRDefault="00DF57B2" w:rsidP="00914030">
      <w:r w:rsidRPr="00DF57B2">
        <w:t>PDA</w:t>
      </w:r>
      <w:r w:rsidR="002B01EC" w:rsidRPr="002271FB">
        <w:t xml:space="preserve"> with plug in </w:t>
      </w:r>
      <w:r w:rsidRPr="00DF57B2">
        <w:t>WAN</w:t>
      </w:r>
      <w:r w:rsidR="002B01EC" w:rsidRPr="002271FB">
        <w:t xml:space="preserve"> card; where </w:t>
      </w:r>
      <w:r w:rsidRPr="00DF57B2">
        <w:t>WAN</w:t>
      </w:r>
      <w:r w:rsidR="002B01EC" w:rsidRPr="002271FB">
        <w:t xml:space="preserve"> card relies upon the </w:t>
      </w:r>
      <w:r w:rsidRPr="00DF57B2">
        <w:t>PDA</w:t>
      </w:r>
      <w:r w:rsidR="002B01EC" w:rsidRPr="002271FB">
        <w:t xml:space="preserve"> for control and power supply.</w:t>
      </w:r>
    </w:p>
    <w:p w:rsidR="002B01EC" w:rsidRPr="002271FB" w:rsidRDefault="00DF57B2" w:rsidP="00914030">
      <w:r w:rsidRPr="00DF57B2">
        <w:t>GSM</w:t>
      </w:r>
      <w:r w:rsidR="002B01EC" w:rsidRPr="002271FB">
        <w:t xml:space="preserve"> phone with SIM card containing free-running oscillator.</w:t>
      </w:r>
    </w:p>
    <w:p w:rsidR="002B01EC" w:rsidRPr="002271FB" w:rsidRDefault="002B01EC">
      <w:pPr>
        <w:pStyle w:val="Balk1"/>
      </w:pPr>
      <w:bookmarkStart w:id="51" w:name="_Toc25029088"/>
      <w:r w:rsidRPr="002271FB">
        <w:t>A.3</w:t>
      </w:r>
      <w:r w:rsidRPr="002271FB">
        <w:tab/>
        <w:t xml:space="preserve">Examples </w:t>
      </w:r>
      <w:r w:rsidR="00056B21">
        <w:t>s</w:t>
      </w:r>
      <w:r w:rsidRPr="002271FB">
        <w:t xml:space="preserve">cenario 3 </w:t>
      </w:r>
      <w:r w:rsidR="00C337CD">
        <w:t>p</w:t>
      </w:r>
      <w:r w:rsidRPr="002271FB">
        <w:t>roducts</w:t>
      </w:r>
      <w:bookmarkEnd w:id="51"/>
    </w:p>
    <w:p w:rsidR="002B01EC" w:rsidRPr="002271FB" w:rsidRDefault="002B01EC">
      <w:r w:rsidRPr="002271FB">
        <w:t xml:space="preserve">Cordless </w:t>
      </w:r>
      <w:r w:rsidR="00DF57B2" w:rsidRPr="00DF57B2">
        <w:t>PABX</w:t>
      </w:r>
      <w:r w:rsidRPr="002271FB">
        <w:t xml:space="preserve">; where cordless radio unit is external to the </w:t>
      </w:r>
      <w:r w:rsidR="00DF57B2" w:rsidRPr="00DF57B2">
        <w:t>PABX</w:t>
      </w:r>
      <w:r w:rsidRPr="002271FB">
        <w:t xml:space="preserve"> but relies upon the </w:t>
      </w:r>
      <w:r w:rsidR="00DF57B2" w:rsidRPr="00DF57B2">
        <w:t>PABX</w:t>
      </w:r>
      <w:r w:rsidRPr="002271FB">
        <w:t xml:space="preserve"> for control and power supply.</w:t>
      </w:r>
    </w:p>
    <w:p w:rsidR="002B01EC" w:rsidRPr="002271FB" w:rsidRDefault="00DF57B2">
      <w:r w:rsidRPr="00DF57B2">
        <w:t>PDA</w:t>
      </w:r>
      <w:r w:rsidR="002B01EC" w:rsidRPr="002271FB">
        <w:t xml:space="preserve"> connected to an external </w:t>
      </w:r>
      <w:r w:rsidRPr="00DF57B2">
        <w:t>RLAN</w:t>
      </w:r>
      <w:r w:rsidR="002B01EC" w:rsidRPr="002271FB">
        <w:t xml:space="preserve">; where the </w:t>
      </w:r>
      <w:r w:rsidRPr="00DF57B2">
        <w:t>RLAN</w:t>
      </w:r>
      <w:r w:rsidR="002B01EC" w:rsidRPr="002271FB">
        <w:t xml:space="preserve"> module is external to the </w:t>
      </w:r>
      <w:r w:rsidRPr="00DF57B2">
        <w:t>PDA</w:t>
      </w:r>
      <w:r w:rsidR="002B01EC" w:rsidRPr="002271FB">
        <w:t xml:space="preserve"> but relies upon the </w:t>
      </w:r>
      <w:r w:rsidRPr="00DF57B2">
        <w:t>PDA</w:t>
      </w:r>
      <w:r w:rsidR="002B01EC" w:rsidRPr="002271FB">
        <w:t xml:space="preserve"> for control and power supply.</w:t>
      </w:r>
    </w:p>
    <w:p w:rsidR="002B01EC" w:rsidRPr="002271FB" w:rsidRDefault="002B01EC">
      <w:pPr>
        <w:pStyle w:val="Balk1"/>
      </w:pPr>
      <w:bookmarkStart w:id="52" w:name="_Toc25029089"/>
      <w:r w:rsidRPr="002271FB">
        <w:t>A.4</w:t>
      </w:r>
      <w:r w:rsidRPr="002271FB">
        <w:tab/>
        <w:t xml:space="preserve">Examples </w:t>
      </w:r>
      <w:r w:rsidR="00056B21">
        <w:t>s</w:t>
      </w:r>
      <w:r w:rsidRPr="002271FB">
        <w:t xml:space="preserve">cenario 4 </w:t>
      </w:r>
      <w:r w:rsidR="00C337CD">
        <w:t>p</w:t>
      </w:r>
      <w:r w:rsidRPr="002271FB">
        <w:t>roducts</w:t>
      </w:r>
      <w:bookmarkEnd w:id="52"/>
    </w:p>
    <w:p w:rsidR="002B01EC" w:rsidRPr="002271FB" w:rsidRDefault="00DF57B2" w:rsidP="00914030">
      <w:r w:rsidRPr="00DF57B2">
        <w:t>PC</w:t>
      </w:r>
      <w:r w:rsidR="002B01EC" w:rsidRPr="002271FB">
        <w:t xml:space="preserve"> with plug in </w:t>
      </w:r>
      <w:r w:rsidRPr="00DF57B2">
        <w:t>RLAN</w:t>
      </w:r>
      <w:r w:rsidR="002B01EC" w:rsidRPr="002271FB">
        <w:t xml:space="preserve"> card and an external mobile phone</w:t>
      </w:r>
      <w:r w:rsidR="00154B62">
        <w:t xml:space="preserve"> </w:t>
      </w:r>
      <w:r w:rsidR="002B01EC" w:rsidRPr="002271FB">
        <w:t xml:space="preserve">connected via a </w:t>
      </w:r>
      <w:r w:rsidRPr="00DF57B2">
        <w:t>USB</w:t>
      </w:r>
      <w:r w:rsidR="002B01EC" w:rsidRPr="002271FB">
        <w:t xml:space="preserve"> cable; where both the </w:t>
      </w:r>
      <w:r w:rsidRPr="00DF57B2">
        <w:t>RLAN</w:t>
      </w:r>
      <w:r w:rsidR="002B01EC" w:rsidRPr="002271FB">
        <w:t xml:space="preserve"> and mobile phone rely upon the </w:t>
      </w:r>
      <w:r w:rsidRPr="00DF57B2">
        <w:t>PC</w:t>
      </w:r>
      <w:r w:rsidR="002B01EC" w:rsidRPr="002271FB">
        <w:t xml:space="preserve"> for control and/or power supply.</w:t>
      </w:r>
    </w:p>
    <w:p w:rsidR="002B01EC" w:rsidRPr="002271FB" w:rsidRDefault="002B01EC">
      <w:pPr>
        <w:pStyle w:val="Balk1"/>
      </w:pPr>
      <w:bookmarkStart w:id="53" w:name="_Toc25029090"/>
      <w:r w:rsidRPr="002271FB">
        <w:t>A.5</w:t>
      </w:r>
      <w:r w:rsidRPr="002271FB">
        <w:tab/>
        <w:t xml:space="preserve">Examples </w:t>
      </w:r>
      <w:r w:rsidR="00056B21">
        <w:t>s</w:t>
      </w:r>
      <w:r w:rsidRPr="002271FB">
        <w:t xml:space="preserve">cenario 5 </w:t>
      </w:r>
      <w:r w:rsidR="00C337CD">
        <w:t>p</w:t>
      </w:r>
      <w:r w:rsidRPr="002271FB">
        <w:t>roducts</w:t>
      </w:r>
      <w:bookmarkEnd w:id="53"/>
    </w:p>
    <w:p w:rsidR="002B01EC" w:rsidRPr="002271FB" w:rsidRDefault="002B01EC">
      <w:r w:rsidRPr="002271FB">
        <w:t xml:space="preserve">Refrigerator controlled by </w:t>
      </w:r>
      <w:r w:rsidR="00DF57B2" w:rsidRPr="00DF57B2">
        <w:t>RLAN</w:t>
      </w:r>
      <w:r w:rsidRPr="002271FB">
        <w:t xml:space="preserve"> with manual control option.</w:t>
      </w:r>
    </w:p>
    <w:p w:rsidR="002B01EC" w:rsidRPr="002271FB" w:rsidRDefault="002B01EC">
      <w:r w:rsidRPr="002271FB">
        <w:t xml:space="preserve">Printer with both cable connection and built in </w:t>
      </w:r>
      <w:r w:rsidR="00DF57B2" w:rsidRPr="00DF57B2">
        <w:t>RLAN</w:t>
      </w:r>
      <w:r w:rsidRPr="002271FB">
        <w:t xml:space="preserve"> connectivity;</w:t>
      </w:r>
      <w:r w:rsidR="00154B62">
        <w:t xml:space="preserve"> </w:t>
      </w:r>
      <w:r w:rsidRPr="002271FB">
        <w:t xml:space="preserve">thus allowing data to be sent either via the </w:t>
      </w:r>
      <w:r w:rsidR="00DF57B2" w:rsidRPr="00DF57B2">
        <w:t>RLAN</w:t>
      </w:r>
      <w:r w:rsidRPr="002271FB">
        <w:t xml:space="preserve"> or the cable connection, but where the </w:t>
      </w:r>
      <w:r w:rsidR="00DF57B2" w:rsidRPr="00DF57B2">
        <w:t>RLAN</w:t>
      </w:r>
      <w:r w:rsidRPr="002271FB">
        <w:t xml:space="preserve"> functionality cannot be removed. </w:t>
      </w:r>
    </w:p>
    <w:p w:rsidR="002B01EC" w:rsidRPr="002271FB" w:rsidRDefault="002B01EC">
      <w:pPr>
        <w:pStyle w:val="Balk1"/>
      </w:pPr>
      <w:bookmarkStart w:id="54" w:name="_Toc25029091"/>
      <w:r w:rsidRPr="002271FB">
        <w:t>A.6</w:t>
      </w:r>
      <w:r w:rsidRPr="002271FB">
        <w:tab/>
        <w:t xml:space="preserve">Examples </w:t>
      </w:r>
      <w:r w:rsidR="00056B21">
        <w:t>s</w:t>
      </w:r>
      <w:r w:rsidRPr="002271FB">
        <w:t xml:space="preserve">cenario 6 </w:t>
      </w:r>
      <w:r w:rsidR="00C337CD">
        <w:t>p</w:t>
      </w:r>
      <w:r w:rsidRPr="002271FB">
        <w:t>roducts</w:t>
      </w:r>
      <w:bookmarkEnd w:id="54"/>
    </w:p>
    <w:p w:rsidR="002B01EC" w:rsidRPr="002271FB" w:rsidRDefault="002B01EC" w:rsidP="00914030">
      <w:r w:rsidRPr="002271FB">
        <w:t>Radio controlled light dimmer; where the radio link is the only means of control and where the radio function embedded within the light dimming function.</w:t>
      </w:r>
    </w:p>
    <w:p w:rsidR="002B01EC" w:rsidRPr="002271FB" w:rsidRDefault="002B01EC" w:rsidP="00914030">
      <w:r w:rsidRPr="002271FB">
        <w:t xml:space="preserve">Printer with </w:t>
      </w:r>
      <w:r w:rsidR="00DF57B2" w:rsidRPr="00DF57B2">
        <w:t>RLAN</w:t>
      </w:r>
      <w:r w:rsidRPr="002271FB">
        <w:t xml:space="preserve"> connectivity only; where operation is only possible via the </w:t>
      </w:r>
      <w:r w:rsidR="00DF57B2" w:rsidRPr="00DF57B2">
        <w:t>RLAN</w:t>
      </w:r>
      <w:r w:rsidRPr="002271FB">
        <w:t xml:space="preserve"> link and where the </w:t>
      </w:r>
      <w:r w:rsidR="00DF57B2" w:rsidRPr="00DF57B2">
        <w:t>RLAN</w:t>
      </w:r>
      <w:r w:rsidRPr="002271FB">
        <w:t xml:space="preserve"> circuitry is embedded within the printer circuitry.</w:t>
      </w:r>
    </w:p>
    <w:p w:rsidR="002B01EC" w:rsidRPr="002271FB" w:rsidRDefault="002B01EC" w:rsidP="00914030">
      <w:r w:rsidRPr="002271FB">
        <w:t>Notebook and Video camera with embedded such as Bluetooth</w:t>
      </w:r>
      <w:r w:rsidRPr="002271FB">
        <w:rPr>
          <w:vertAlign w:val="superscript"/>
        </w:rPr>
        <w:t>TM</w:t>
      </w:r>
      <w:r w:rsidRPr="002271FB">
        <w:t xml:space="preserve"> link.</w:t>
      </w:r>
    </w:p>
    <w:p w:rsidR="002B01EC" w:rsidRPr="002271FB" w:rsidRDefault="002B01EC">
      <w:pPr>
        <w:pStyle w:val="Balk1"/>
      </w:pPr>
      <w:bookmarkStart w:id="55" w:name="_Toc25029092"/>
      <w:r w:rsidRPr="002271FB">
        <w:lastRenderedPageBreak/>
        <w:t>A.7</w:t>
      </w:r>
      <w:r w:rsidRPr="002271FB">
        <w:tab/>
        <w:t xml:space="preserve">Examples </w:t>
      </w:r>
      <w:r w:rsidR="00056B21">
        <w:t>s</w:t>
      </w:r>
      <w:r w:rsidRPr="002271FB">
        <w:t xml:space="preserve">cenario 7 </w:t>
      </w:r>
      <w:r w:rsidR="00C337CD">
        <w:t>p</w:t>
      </w:r>
      <w:r w:rsidRPr="002271FB">
        <w:t>roducts</w:t>
      </w:r>
      <w:bookmarkEnd w:id="55"/>
    </w:p>
    <w:p w:rsidR="002B01EC" w:rsidRPr="002271FB" w:rsidRDefault="002B01EC" w:rsidP="00914030">
      <w:r w:rsidRPr="002271FB">
        <w:t>Television receiver with universal radio remote control and no manual controls, where the universal radio remote control can control other appliances.</w:t>
      </w:r>
    </w:p>
    <w:p w:rsidR="002B01EC" w:rsidRPr="002271FB" w:rsidRDefault="00CE79C2" w:rsidP="00914030">
      <w:r w:rsidRPr="002271FB">
        <w:t>Satellite</w:t>
      </w:r>
      <w:r w:rsidR="002B01EC" w:rsidRPr="002271FB">
        <w:t xml:space="preserve"> Television set top box with HomeRF</w:t>
      </w:r>
      <w:r w:rsidR="002B01EC" w:rsidRPr="002271FB">
        <w:rPr>
          <w:vertAlign w:val="superscript"/>
        </w:rPr>
        <w:t>TM</w:t>
      </w:r>
      <w:r w:rsidR="002B01EC" w:rsidRPr="002271FB">
        <w:t xml:space="preserve"> link to other video monitors</w:t>
      </w:r>
      <w:r w:rsidR="00C337CD">
        <w:t>.</w:t>
      </w:r>
    </w:p>
    <w:p w:rsidR="002B01EC" w:rsidRPr="002271FB" w:rsidRDefault="002B01EC">
      <w:pPr>
        <w:pStyle w:val="Balk1"/>
      </w:pPr>
      <w:bookmarkStart w:id="56" w:name="_Toc25029093"/>
      <w:r w:rsidRPr="002271FB">
        <w:t>A.8</w:t>
      </w:r>
      <w:r w:rsidRPr="002271FB">
        <w:tab/>
        <w:t xml:space="preserve">Examples of </w:t>
      </w:r>
      <w:r w:rsidR="00C337CD">
        <w:t>m</w:t>
      </w:r>
      <w:r w:rsidRPr="002271FB">
        <w:t>ulti-</w:t>
      </w:r>
      <w:r w:rsidR="00C337CD">
        <w:t>r</w:t>
      </w:r>
      <w:r w:rsidRPr="002271FB">
        <w:t xml:space="preserve">adio </w:t>
      </w:r>
      <w:r w:rsidR="00C337CD">
        <w:t>e</w:t>
      </w:r>
      <w:r w:rsidRPr="002271FB">
        <w:t>quipment</w:t>
      </w:r>
      <w:bookmarkEnd w:id="56"/>
    </w:p>
    <w:p w:rsidR="002B01EC" w:rsidRPr="002271FB" w:rsidRDefault="002B01EC" w:rsidP="00914030">
      <w:r w:rsidRPr="002271FB">
        <w:t xml:space="preserve">3G handset with dual band </w:t>
      </w:r>
      <w:r w:rsidR="00DF57B2" w:rsidRPr="00DF57B2">
        <w:t>GSM</w:t>
      </w:r>
      <w:r w:rsidRPr="002271FB">
        <w:t xml:space="preserve"> capability</w:t>
      </w:r>
      <w:r w:rsidR="00154B62">
        <w:t xml:space="preserve"> </w:t>
      </w:r>
      <w:r w:rsidRPr="002271FB">
        <w:t>with Bluetooth</w:t>
      </w:r>
      <w:r w:rsidRPr="002271FB">
        <w:rPr>
          <w:vertAlign w:val="superscript"/>
        </w:rPr>
        <w:t>TM</w:t>
      </w:r>
      <w:r w:rsidRPr="002271FB">
        <w:t xml:space="preserve"> link for cordless headset.</w:t>
      </w:r>
    </w:p>
    <w:p w:rsidR="002B01EC" w:rsidRPr="002271FB" w:rsidRDefault="00CE79C2" w:rsidP="00914030">
      <w:r w:rsidRPr="00DF57B2">
        <w:t>PDA</w:t>
      </w:r>
      <w:r>
        <w:t>s</w:t>
      </w:r>
      <w:r w:rsidR="002B01EC" w:rsidRPr="002271FB">
        <w:t xml:space="preserve"> with </w:t>
      </w:r>
      <w:r w:rsidR="00DF57B2" w:rsidRPr="00DF57B2">
        <w:t>WAN</w:t>
      </w:r>
      <w:r w:rsidR="002B01EC" w:rsidRPr="002271FB">
        <w:t>/</w:t>
      </w:r>
      <w:r w:rsidR="00DF57B2" w:rsidRPr="00DF57B2">
        <w:t>LAN</w:t>
      </w:r>
      <w:r w:rsidR="002B01EC" w:rsidRPr="002271FB">
        <w:t>/</w:t>
      </w:r>
      <w:r w:rsidR="00DF57B2" w:rsidRPr="00DF57B2">
        <w:t>PAN</w:t>
      </w:r>
      <w:r w:rsidR="002B01EC" w:rsidRPr="002271FB">
        <w:t xml:space="preserve"> modules.</w:t>
      </w:r>
    </w:p>
    <w:p w:rsidR="002B01EC" w:rsidRPr="002271FB" w:rsidRDefault="002B01EC">
      <w:pPr>
        <w:pStyle w:val="Balk1"/>
      </w:pPr>
      <w:r w:rsidRPr="002271FB">
        <w:br w:type="page"/>
      </w:r>
      <w:bookmarkStart w:id="57" w:name="_Toc25029094"/>
      <w:r w:rsidRPr="002271FB">
        <w:lastRenderedPageBreak/>
        <w:t>History</w:t>
      </w:r>
      <w:bookmarkEnd w:id="57"/>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2B01EC" w:rsidRPr="002271FB">
        <w:trPr>
          <w:jc w:val="center"/>
        </w:trPr>
        <w:tc>
          <w:tcPr>
            <w:tcW w:w="9639" w:type="dxa"/>
            <w:gridSpan w:val="3"/>
            <w:tcBorders>
              <w:top w:val="single" w:sz="6" w:space="0" w:color="auto"/>
              <w:left w:val="single" w:sz="6" w:space="0" w:color="auto"/>
              <w:bottom w:val="single" w:sz="6" w:space="0" w:color="auto"/>
              <w:right w:val="single" w:sz="6" w:space="0" w:color="auto"/>
            </w:tcBorders>
          </w:tcPr>
          <w:p w:rsidR="002B01EC" w:rsidRPr="002271FB" w:rsidRDefault="002B01EC">
            <w:pPr>
              <w:spacing w:before="60" w:after="60"/>
              <w:jc w:val="center"/>
              <w:rPr>
                <w:b/>
                <w:sz w:val="24"/>
              </w:rPr>
            </w:pPr>
            <w:r w:rsidRPr="002271FB">
              <w:rPr>
                <w:b/>
                <w:sz w:val="24"/>
              </w:rPr>
              <w:t>Document history</w:t>
            </w:r>
          </w:p>
        </w:tc>
      </w:tr>
      <w:tr w:rsidR="00914030" w:rsidRPr="002271FB">
        <w:trPr>
          <w:jc w:val="center"/>
        </w:trPr>
        <w:tc>
          <w:tcPr>
            <w:tcW w:w="1247" w:type="dxa"/>
            <w:tcBorders>
              <w:top w:val="single" w:sz="6" w:space="0" w:color="auto"/>
              <w:left w:val="single" w:sz="6" w:space="0" w:color="auto"/>
              <w:bottom w:val="single" w:sz="6" w:space="0" w:color="auto"/>
              <w:right w:val="single" w:sz="6" w:space="0" w:color="auto"/>
            </w:tcBorders>
          </w:tcPr>
          <w:p w:rsidR="00914030" w:rsidRPr="002271FB" w:rsidRDefault="00914030" w:rsidP="00914030">
            <w:pPr>
              <w:pStyle w:val="FP"/>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tcPr>
          <w:p w:rsidR="00914030" w:rsidRPr="002271FB" w:rsidRDefault="00914030" w:rsidP="00914030">
            <w:pPr>
              <w:pStyle w:val="FP"/>
              <w:spacing w:before="80" w:after="80"/>
              <w:ind w:left="57"/>
            </w:pPr>
            <w:r>
              <w:t>November 2002</w:t>
            </w:r>
          </w:p>
        </w:tc>
        <w:tc>
          <w:tcPr>
            <w:tcW w:w="6804" w:type="dxa"/>
            <w:tcBorders>
              <w:top w:val="single" w:sz="6" w:space="0" w:color="auto"/>
              <w:left w:val="nil"/>
              <w:bottom w:val="single" w:sz="6" w:space="0" w:color="auto"/>
              <w:right w:val="single" w:sz="6" w:space="0" w:color="auto"/>
            </w:tcBorders>
          </w:tcPr>
          <w:p w:rsidR="00914030" w:rsidRPr="002271FB" w:rsidRDefault="00914030" w:rsidP="00914030">
            <w:pPr>
              <w:pStyle w:val="FP"/>
              <w:tabs>
                <w:tab w:val="left" w:pos="3118"/>
              </w:tabs>
              <w:spacing w:before="80" w:after="80"/>
            </w:pPr>
            <w:r>
              <w:t>Publication</w:t>
            </w:r>
          </w:p>
        </w:tc>
      </w:tr>
      <w:tr w:rsidR="002B01EC" w:rsidRPr="002271FB">
        <w:trPr>
          <w:jc w:val="center"/>
        </w:trPr>
        <w:tc>
          <w:tcPr>
            <w:tcW w:w="1247" w:type="dxa"/>
            <w:tcBorders>
              <w:top w:val="single" w:sz="6" w:space="0" w:color="auto"/>
              <w:left w:val="single" w:sz="6" w:space="0" w:color="auto"/>
              <w:bottom w:val="single" w:sz="6" w:space="0" w:color="auto"/>
              <w:right w:val="single" w:sz="6" w:space="0" w:color="auto"/>
            </w:tcBorders>
          </w:tcPr>
          <w:p w:rsidR="002B01EC" w:rsidRPr="002271FB" w:rsidRDefault="002B01EC">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2B01EC" w:rsidRPr="002271FB" w:rsidRDefault="002B01EC">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2B01EC" w:rsidRPr="002271FB" w:rsidRDefault="002B01EC" w:rsidP="00D96E2A">
            <w:pPr>
              <w:pStyle w:val="FP"/>
              <w:tabs>
                <w:tab w:val="left" w:pos="3118"/>
              </w:tabs>
              <w:spacing w:before="80" w:after="80"/>
              <w:ind w:left="57"/>
            </w:pPr>
          </w:p>
        </w:tc>
      </w:tr>
      <w:tr w:rsidR="002B01EC" w:rsidRPr="002271FB">
        <w:trPr>
          <w:jc w:val="center"/>
        </w:trPr>
        <w:tc>
          <w:tcPr>
            <w:tcW w:w="1247" w:type="dxa"/>
            <w:tcBorders>
              <w:top w:val="single" w:sz="6" w:space="0" w:color="auto"/>
              <w:left w:val="single" w:sz="6" w:space="0" w:color="auto"/>
              <w:bottom w:val="single" w:sz="6" w:space="0" w:color="auto"/>
              <w:right w:val="single" w:sz="6" w:space="0" w:color="auto"/>
            </w:tcBorders>
          </w:tcPr>
          <w:p w:rsidR="002B01EC" w:rsidRPr="002271FB" w:rsidRDefault="002B01EC">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2B01EC" w:rsidRPr="002271FB" w:rsidRDefault="002B01EC">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2B01EC" w:rsidRPr="002271FB" w:rsidRDefault="002B01EC" w:rsidP="00D96E2A">
            <w:pPr>
              <w:pStyle w:val="FP"/>
              <w:tabs>
                <w:tab w:val="left" w:pos="3118"/>
              </w:tabs>
              <w:spacing w:before="80" w:after="80"/>
              <w:ind w:left="57"/>
            </w:pPr>
          </w:p>
        </w:tc>
      </w:tr>
      <w:tr w:rsidR="002B01EC" w:rsidRPr="002271FB">
        <w:trPr>
          <w:jc w:val="center"/>
        </w:trPr>
        <w:tc>
          <w:tcPr>
            <w:tcW w:w="1247" w:type="dxa"/>
            <w:tcBorders>
              <w:top w:val="single" w:sz="6" w:space="0" w:color="auto"/>
              <w:left w:val="single" w:sz="6" w:space="0" w:color="auto"/>
              <w:bottom w:val="single" w:sz="6" w:space="0" w:color="auto"/>
              <w:right w:val="single" w:sz="6" w:space="0" w:color="auto"/>
            </w:tcBorders>
          </w:tcPr>
          <w:p w:rsidR="002B01EC" w:rsidRPr="002271FB" w:rsidRDefault="002B01EC">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2B01EC" w:rsidRPr="002271FB" w:rsidRDefault="002B01EC">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2B01EC" w:rsidRPr="002271FB" w:rsidRDefault="002B01EC" w:rsidP="00D96E2A">
            <w:pPr>
              <w:pStyle w:val="FP"/>
              <w:tabs>
                <w:tab w:val="left" w:pos="3118"/>
              </w:tabs>
              <w:spacing w:before="80" w:after="80"/>
              <w:ind w:left="57"/>
            </w:pPr>
          </w:p>
        </w:tc>
      </w:tr>
      <w:tr w:rsidR="002B01EC" w:rsidRPr="002271FB">
        <w:trPr>
          <w:jc w:val="center"/>
        </w:trPr>
        <w:tc>
          <w:tcPr>
            <w:tcW w:w="1247" w:type="dxa"/>
            <w:tcBorders>
              <w:top w:val="single" w:sz="6" w:space="0" w:color="auto"/>
              <w:left w:val="single" w:sz="6" w:space="0" w:color="auto"/>
              <w:bottom w:val="single" w:sz="6" w:space="0" w:color="auto"/>
              <w:right w:val="single" w:sz="6" w:space="0" w:color="auto"/>
            </w:tcBorders>
          </w:tcPr>
          <w:p w:rsidR="002B01EC" w:rsidRPr="002271FB" w:rsidRDefault="002B01EC">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2B01EC" w:rsidRPr="002271FB" w:rsidRDefault="002B01EC">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2B01EC" w:rsidRPr="002271FB" w:rsidRDefault="002B01EC" w:rsidP="00D96E2A">
            <w:pPr>
              <w:pStyle w:val="FP"/>
              <w:tabs>
                <w:tab w:val="left" w:pos="3118"/>
              </w:tabs>
              <w:spacing w:before="80" w:after="80"/>
              <w:ind w:left="57"/>
            </w:pPr>
          </w:p>
        </w:tc>
      </w:tr>
    </w:tbl>
    <w:p w:rsidR="002B01EC" w:rsidRPr="002271FB" w:rsidRDefault="002B01EC"/>
    <w:p w:rsidR="002B01EC" w:rsidRPr="002271FB" w:rsidRDefault="002B01EC">
      <w:r w:rsidRPr="002271FB">
        <w:t xml:space="preserve"> </w:t>
      </w:r>
    </w:p>
    <w:sectPr w:rsidR="002B01EC" w:rsidRPr="002271FB" w:rsidSect="00D96E2A">
      <w:headerReference w:type="default" r:id="rId34"/>
      <w:footerReference w:type="default" r:id="rId35"/>
      <w:footnotePr>
        <w:numRestart w:val="eachSect"/>
      </w:footnotePr>
      <w:pgSz w:w="11907" w:h="16840" w:code="9"/>
      <w:pgMar w:top="1417" w:right="1134" w:bottom="1134" w:left="1134" w:header="850" w:footer="34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2D" w:rsidRDefault="00036E2D">
      <w:pPr>
        <w:spacing w:after="0"/>
      </w:pPr>
      <w:r>
        <w:separator/>
      </w:r>
    </w:p>
  </w:endnote>
  <w:endnote w:type="continuationSeparator" w:id="0">
    <w:p w:rsidR="00036E2D" w:rsidRDefault="00036E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45" w:rsidRDefault="00127E45" w:rsidP="00127E4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14030" w:rsidRPr="00D96E2A" w:rsidRDefault="00914030" w:rsidP="00D96E2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45" w:rsidRDefault="00127E45" w:rsidP="00127E45">
    <w:pPr>
      <w:pStyle w:val="AltBilgi"/>
    </w:pPr>
    <w:r>
      <w:t>ETSI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D23" w:rsidRDefault="00B87D23" w:rsidP="00B87D23">
    <w:pPr>
      <w:pStyle w:val="AltBilgi"/>
    </w:pPr>
    <w:r>
      <w:t>ETSI</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30" w:rsidRDefault="00914030" w:rsidP="00D96E2A">
    <w:pPr>
      <w:pStyle w:val="AltBilgi"/>
    </w:pPr>
    <w:r>
      <w:t>ETSI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2D" w:rsidRDefault="00036E2D">
      <w:pPr>
        <w:spacing w:after="0"/>
      </w:pPr>
      <w:r>
        <w:separator/>
      </w:r>
    </w:p>
  </w:footnote>
  <w:footnote w:type="continuationSeparator" w:id="0">
    <w:p w:rsidR="00036E2D" w:rsidRDefault="00036E2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30" w:rsidRDefault="00914030">
    <w:pPr>
      <w:pStyle w:val="stBilgi"/>
      <w:framePr w:wrap="notBeside" w:vAnchor="page" w:hAnchor="margin" w:xAlign="center" w:y="6805"/>
      <w:widowControl/>
    </w:pPr>
    <w:r>
      <w:rPr>
        <w:sz w:val="20"/>
      </w:rPr>
      <w:object w:dxaOrig="10171" w:dyaOrig="8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38pt" o:ole="" fillcolor="window">
          <v:imagedata r:id="rId1" o:title=""/>
        </v:shape>
        <o:OLEObject Type="Embed" ProgID="Word.Picture.8" ShapeID="_x0000_i1025" DrawAspect="Content" ObjectID="_1545048511" r:id="rId2"/>
      </w:object>
    </w:r>
  </w:p>
  <w:p w:rsidR="00914030" w:rsidRDefault="0091403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45" w:rsidRDefault="00127E45" w:rsidP="00127E45">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14030" w:rsidRPr="00D96E2A" w:rsidRDefault="00914030" w:rsidP="00D96E2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45" w:rsidRDefault="00127E45" w:rsidP="00127E45">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002A3">
      <w:rPr>
        <w:rStyle w:val="SayfaNumaras"/>
      </w:rPr>
      <w:t>14</w:t>
    </w:r>
    <w:r>
      <w:rPr>
        <w:rStyle w:val="SayfaNumaras"/>
      </w:rPr>
      <w:fldChar w:fldCharType="end"/>
    </w:r>
  </w:p>
  <w:p w:rsidR="00127E45" w:rsidRDefault="00127E45" w:rsidP="00127E45">
    <w:pPr>
      <w:pStyle w:val="stBilgi"/>
      <w:jc w:val="right"/>
    </w:pPr>
    <w:r>
      <w:fldChar w:fldCharType="begin"/>
    </w:r>
    <w:r>
      <w:instrText xml:space="preserve">styleref ZA </w:instrText>
    </w:r>
    <w:r>
      <w:fldChar w:fldCharType="separate"/>
    </w:r>
    <w:r w:rsidR="001002A3">
      <w:t>ETSI TR 102 070-2 V1.1.1 (2002-11)</w:t>
    </w:r>
    <w:r>
      <w:fldChar w:fldCharType="end"/>
    </w:r>
  </w:p>
  <w:p w:rsidR="00914030" w:rsidRPr="00D96E2A" w:rsidRDefault="00914030" w:rsidP="00127E45">
    <w:pPr>
      <w:pStyle w:val="stBilgi"/>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D23" w:rsidRDefault="00B87D23" w:rsidP="00B87D23">
    <w:pPr>
      <w:pStyle w:val="stBilgi"/>
      <w:framePr w:wrap="around" w:vAnchor="text" w:hAnchor="page" w:x="5911" w:y="-9"/>
      <w:rPr>
        <w:rStyle w:val="SayfaNumaras"/>
      </w:rPr>
    </w:pPr>
    <w:r>
      <w:rPr>
        <w:rStyle w:val="SayfaNumaras"/>
      </w:rPr>
      <w:fldChar w:fldCharType="begin"/>
    </w:r>
    <w:r>
      <w:rPr>
        <w:rStyle w:val="SayfaNumaras"/>
      </w:rPr>
      <w:instrText xml:space="preserve">PAGE  </w:instrText>
    </w:r>
    <w:r>
      <w:rPr>
        <w:rStyle w:val="SayfaNumaras"/>
      </w:rPr>
      <w:fldChar w:fldCharType="separate"/>
    </w:r>
    <w:r w:rsidR="001002A3">
      <w:rPr>
        <w:rStyle w:val="SayfaNumaras"/>
      </w:rPr>
      <w:t>2</w:t>
    </w:r>
    <w:r>
      <w:rPr>
        <w:rStyle w:val="SayfaNumaras"/>
      </w:rPr>
      <w:fldChar w:fldCharType="end"/>
    </w:r>
  </w:p>
  <w:p w:rsidR="00B87D23" w:rsidRDefault="00B87D23" w:rsidP="00B87D23">
    <w:pPr>
      <w:pStyle w:val="stBilgi"/>
      <w:jc w:val="right"/>
    </w:pPr>
    <w:r>
      <w:fldChar w:fldCharType="begin"/>
    </w:r>
    <w:r>
      <w:instrText xml:space="preserve">styleref ZA </w:instrText>
    </w:r>
    <w:r>
      <w:fldChar w:fldCharType="separate"/>
    </w:r>
    <w:r w:rsidR="001002A3">
      <w:t>ETSI TR 102 070-2 V1.1.1 (2002-11)</w:t>
    </w:r>
    <w:r>
      <w:fldChar w:fldCharType="end"/>
    </w:r>
  </w:p>
  <w:p w:rsidR="00914030" w:rsidRPr="00D96E2A" w:rsidRDefault="00914030" w:rsidP="00B87D23">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30" w:rsidRPr="00E47F9A" w:rsidRDefault="00914030" w:rsidP="00D96E2A">
    <w:pPr>
      <w:pStyle w:val="stBilgi"/>
      <w:framePr w:wrap="auto" w:vAnchor="text" w:hAnchor="margin" w:xAlign="right" w:y="1"/>
      <w:widowControl/>
      <w:rPr>
        <w:noProof w:val="0"/>
      </w:rPr>
    </w:pPr>
    <w:r w:rsidRPr="00E47F9A">
      <w:rPr>
        <w:noProof w:val="0"/>
      </w:rPr>
      <w:fldChar w:fldCharType="begin"/>
    </w:r>
    <w:r w:rsidRPr="00E47F9A">
      <w:rPr>
        <w:noProof w:val="0"/>
      </w:rPr>
      <w:instrText xml:space="preserve">styleref ZA </w:instrText>
    </w:r>
    <w:r w:rsidRPr="00E47F9A">
      <w:rPr>
        <w:noProof w:val="0"/>
      </w:rPr>
      <w:fldChar w:fldCharType="separate"/>
    </w:r>
    <w:r w:rsidR="001002A3">
      <w:t>ETSI TR 102 070-2 V1.1.1 (2002-11)</w:t>
    </w:r>
    <w:r w:rsidRPr="00E47F9A">
      <w:rPr>
        <w:noProof w:val="0"/>
      </w:rPr>
      <w:fldChar w:fldCharType="end"/>
    </w:r>
  </w:p>
  <w:p w:rsidR="00914030" w:rsidRPr="00E47F9A" w:rsidRDefault="00914030" w:rsidP="00D96E2A">
    <w:pPr>
      <w:pStyle w:val="stBilgi"/>
      <w:framePr w:wrap="auto" w:vAnchor="text" w:hAnchor="margin" w:xAlign="center" w:y="1"/>
      <w:widowControl/>
      <w:rPr>
        <w:noProof w:val="0"/>
      </w:rPr>
    </w:pPr>
    <w:r w:rsidRPr="00E47F9A">
      <w:rPr>
        <w:noProof w:val="0"/>
      </w:rPr>
      <w:fldChar w:fldCharType="begin"/>
    </w:r>
    <w:r w:rsidRPr="00E47F9A">
      <w:rPr>
        <w:noProof w:val="0"/>
      </w:rPr>
      <w:instrText xml:space="preserve">page </w:instrText>
    </w:r>
    <w:r w:rsidRPr="00E47F9A">
      <w:rPr>
        <w:noProof w:val="0"/>
      </w:rPr>
      <w:fldChar w:fldCharType="separate"/>
    </w:r>
    <w:r w:rsidR="001002A3">
      <w:t>17</w:t>
    </w:r>
    <w:r w:rsidRPr="00E47F9A">
      <w:rPr>
        <w:noProof w:val="0"/>
      </w:rPr>
      <w:fldChar w:fldCharType="end"/>
    </w:r>
  </w:p>
  <w:p w:rsidR="00914030" w:rsidRPr="00E47F9A" w:rsidRDefault="00914030" w:rsidP="00D96E2A">
    <w:pPr>
      <w:pStyle w:val="stBilgi"/>
      <w:framePr w:wrap="auto" w:vAnchor="text" w:hAnchor="margin" w:y="1"/>
      <w:widowControl/>
      <w:rPr>
        <w:noProof w:val="0"/>
      </w:rPr>
    </w:pPr>
    <w:r w:rsidRPr="00E47F9A">
      <w:rPr>
        <w:noProof w:val="0"/>
      </w:rPr>
      <w:fldChar w:fldCharType="begin"/>
    </w:r>
    <w:r w:rsidRPr="00E47F9A">
      <w:rPr>
        <w:noProof w:val="0"/>
      </w:rPr>
      <w:instrText xml:space="preserve">styleref ZGSM </w:instrText>
    </w:r>
    <w:r w:rsidRPr="00E47F9A">
      <w:rPr>
        <w:noProof w:val="0"/>
      </w:rPr>
      <w:fldChar w:fldCharType="end"/>
    </w:r>
  </w:p>
  <w:p w:rsidR="00914030" w:rsidRPr="00D96E2A" w:rsidRDefault="00914030" w:rsidP="00D96E2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FAB652"/>
    <w:lvl w:ilvl="0">
      <w:start w:val="1"/>
      <w:numFmt w:val="decimal"/>
      <w:pStyle w:val="Kaynaka"/>
      <w:lvlText w:val="%1."/>
      <w:lvlJc w:val="left"/>
      <w:pPr>
        <w:tabs>
          <w:tab w:val="num" w:pos="1492"/>
        </w:tabs>
        <w:ind w:left="1492" w:hanging="360"/>
      </w:pPr>
    </w:lvl>
  </w:abstractNum>
  <w:abstractNum w:abstractNumId="1" w15:restartNumberingAfterBreak="0">
    <w:nsid w:val="FFFFFF7D"/>
    <w:multiLevelType w:val="singleLevel"/>
    <w:tmpl w:val="E2A6B980"/>
    <w:lvl w:ilvl="0">
      <w:start w:val="1"/>
      <w:numFmt w:val="decimal"/>
      <w:pStyle w:val="Altyaz"/>
      <w:lvlText w:val="%1."/>
      <w:lvlJc w:val="left"/>
      <w:pPr>
        <w:tabs>
          <w:tab w:val="num" w:pos="1209"/>
        </w:tabs>
        <w:ind w:left="1209" w:hanging="360"/>
      </w:pPr>
    </w:lvl>
  </w:abstractNum>
  <w:abstractNum w:abstractNumId="2" w15:restartNumberingAfterBreak="0">
    <w:nsid w:val="FFFFFF7E"/>
    <w:multiLevelType w:val="singleLevel"/>
    <w:tmpl w:val="D04A5276"/>
    <w:lvl w:ilvl="0">
      <w:start w:val="1"/>
      <w:numFmt w:val="decimal"/>
      <w:pStyle w:val="Gl"/>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2"/>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20"/>
  <w:displayHorizontalDrawingGridEvery w:val="2"/>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EC"/>
    <w:rsid w:val="00036E2D"/>
    <w:rsid w:val="00056B21"/>
    <w:rsid w:val="00097762"/>
    <w:rsid w:val="000B3B54"/>
    <w:rsid w:val="000F519F"/>
    <w:rsid w:val="001002A3"/>
    <w:rsid w:val="00127E45"/>
    <w:rsid w:val="00154B62"/>
    <w:rsid w:val="002271FB"/>
    <w:rsid w:val="002B01EC"/>
    <w:rsid w:val="002D6ADF"/>
    <w:rsid w:val="003F7A6C"/>
    <w:rsid w:val="00567E09"/>
    <w:rsid w:val="008C0802"/>
    <w:rsid w:val="00912B5D"/>
    <w:rsid w:val="00914030"/>
    <w:rsid w:val="00914C72"/>
    <w:rsid w:val="00B87D23"/>
    <w:rsid w:val="00C337CD"/>
    <w:rsid w:val="00C43848"/>
    <w:rsid w:val="00C60F19"/>
    <w:rsid w:val="00C83138"/>
    <w:rsid w:val="00CA3A80"/>
    <w:rsid w:val="00CE79C2"/>
    <w:rsid w:val="00D439CC"/>
    <w:rsid w:val="00D96E2A"/>
    <w:rsid w:val="00DE2DC4"/>
    <w:rsid w:val="00DF57B2"/>
    <w:rsid w:val="00F10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5DF217-A260-43E2-80A0-BDE43B6A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2A"/>
    <w:pPr>
      <w:overflowPunct w:val="0"/>
      <w:autoSpaceDE w:val="0"/>
      <w:autoSpaceDN w:val="0"/>
      <w:adjustRightInd w:val="0"/>
      <w:spacing w:after="180"/>
      <w:textAlignment w:val="baseline"/>
    </w:pPr>
    <w:rPr>
      <w:lang w:val="en-GB" w:eastAsia="en-US"/>
    </w:rPr>
  </w:style>
  <w:style w:type="paragraph" w:styleId="Balk1">
    <w:name w:val="heading 1"/>
    <w:next w:val="Normal"/>
    <w:qFormat/>
    <w:rsid w:val="00D96E2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alk2">
    <w:name w:val="heading 2"/>
    <w:basedOn w:val="Balk1"/>
    <w:next w:val="Normal"/>
    <w:qFormat/>
    <w:rsid w:val="00D96E2A"/>
    <w:pPr>
      <w:pBdr>
        <w:top w:val="none" w:sz="0" w:space="0" w:color="auto"/>
      </w:pBdr>
      <w:spacing w:before="180"/>
      <w:outlineLvl w:val="1"/>
    </w:pPr>
    <w:rPr>
      <w:sz w:val="32"/>
    </w:rPr>
  </w:style>
  <w:style w:type="paragraph" w:styleId="Balk3">
    <w:name w:val="heading 3"/>
    <w:basedOn w:val="Balk2"/>
    <w:next w:val="Normal"/>
    <w:qFormat/>
    <w:rsid w:val="00D96E2A"/>
    <w:pPr>
      <w:spacing w:before="120"/>
      <w:outlineLvl w:val="2"/>
    </w:pPr>
    <w:rPr>
      <w:sz w:val="28"/>
    </w:rPr>
  </w:style>
  <w:style w:type="paragraph" w:styleId="Balk4">
    <w:name w:val="heading 4"/>
    <w:basedOn w:val="Balk3"/>
    <w:next w:val="Normal"/>
    <w:qFormat/>
    <w:rsid w:val="00D96E2A"/>
    <w:pPr>
      <w:ind w:left="1418" w:hanging="1418"/>
      <w:outlineLvl w:val="3"/>
    </w:pPr>
    <w:rPr>
      <w:sz w:val="24"/>
    </w:rPr>
  </w:style>
  <w:style w:type="paragraph" w:styleId="Balk5">
    <w:name w:val="heading 5"/>
    <w:basedOn w:val="Balk4"/>
    <w:next w:val="Normal"/>
    <w:qFormat/>
    <w:rsid w:val="00D96E2A"/>
    <w:pPr>
      <w:ind w:left="1701" w:hanging="1701"/>
      <w:outlineLvl w:val="4"/>
    </w:pPr>
    <w:rPr>
      <w:sz w:val="22"/>
    </w:rPr>
  </w:style>
  <w:style w:type="paragraph" w:styleId="Balk6">
    <w:name w:val="heading 6"/>
    <w:basedOn w:val="H6"/>
    <w:next w:val="Normal"/>
    <w:qFormat/>
    <w:rsid w:val="00D96E2A"/>
    <w:pPr>
      <w:outlineLvl w:val="5"/>
    </w:pPr>
  </w:style>
  <w:style w:type="paragraph" w:styleId="Balk7">
    <w:name w:val="heading 7"/>
    <w:basedOn w:val="H6"/>
    <w:next w:val="Normal"/>
    <w:qFormat/>
    <w:rsid w:val="00D96E2A"/>
    <w:pPr>
      <w:outlineLvl w:val="6"/>
    </w:pPr>
  </w:style>
  <w:style w:type="paragraph" w:styleId="Balk8">
    <w:name w:val="heading 8"/>
    <w:basedOn w:val="Balk1"/>
    <w:next w:val="Normal"/>
    <w:qFormat/>
    <w:rsid w:val="00D96E2A"/>
    <w:pPr>
      <w:ind w:left="0" w:firstLine="0"/>
      <w:outlineLvl w:val="7"/>
    </w:pPr>
  </w:style>
  <w:style w:type="paragraph" w:styleId="Balk9">
    <w:name w:val="heading 9"/>
    <w:basedOn w:val="Balk8"/>
    <w:next w:val="Normal"/>
    <w:qFormat/>
    <w:rsid w:val="00D96E2A"/>
    <w:pPr>
      <w:outlineLvl w:val="8"/>
    </w:pPr>
  </w:style>
  <w:style w:type="character" w:default="1" w:styleId="VarsaylanParagrafYazTipi">
    <w:name w:val="Default Paragraph Font"/>
    <w:semiHidden/>
    <w:rsid w:val="00D96E2A"/>
  </w:style>
  <w:style w:type="table" w:default="1" w:styleId="NormalTablo">
    <w:name w:val="Normal Table"/>
    <w:semiHidden/>
    <w:rsid w:val="00D96E2A"/>
    <w:tblPr>
      <w:tblInd w:w="0" w:type="dxa"/>
      <w:tblCellMar>
        <w:top w:w="0" w:type="dxa"/>
        <w:left w:w="108" w:type="dxa"/>
        <w:bottom w:w="0" w:type="dxa"/>
        <w:right w:w="108" w:type="dxa"/>
      </w:tblCellMar>
    </w:tblPr>
  </w:style>
  <w:style w:type="numbering" w:default="1" w:styleId="ListeYok">
    <w:name w:val="No List"/>
    <w:semiHidden/>
    <w:rsid w:val="00D96E2A"/>
  </w:style>
  <w:style w:type="paragraph" w:customStyle="1" w:styleId="H6">
    <w:name w:val="H6"/>
    <w:basedOn w:val="Balk5"/>
    <w:next w:val="Normal"/>
    <w:rsid w:val="00D96E2A"/>
    <w:pPr>
      <w:ind w:left="1985" w:hanging="1985"/>
      <w:outlineLvl w:val="9"/>
    </w:pPr>
    <w:rPr>
      <w:sz w:val="20"/>
    </w:rPr>
  </w:style>
  <w:style w:type="paragraph" w:styleId="T9">
    <w:name w:val="toc 9"/>
    <w:basedOn w:val="T8"/>
    <w:semiHidden/>
    <w:rsid w:val="00D96E2A"/>
    <w:pPr>
      <w:ind w:left="1418" w:hanging="1418"/>
    </w:pPr>
  </w:style>
  <w:style w:type="paragraph" w:styleId="T8">
    <w:name w:val="toc 8"/>
    <w:basedOn w:val="T1"/>
    <w:semiHidden/>
    <w:rsid w:val="00D96E2A"/>
    <w:pPr>
      <w:spacing w:before="180"/>
      <w:ind w:left="2693" w:hanging="2693"/>
    </w:pPr>
    <w:rPr>
      <w:b/>
    </w:rPr>
  </w:style>
  <w:style w:type="paragraph" w:styleId="T1">
    <w:name w:val="toc 1"/>
    <w:semiHidden/>
    <w:rsid w:val="00D96E2A"/>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D96E2A"/>
    <w:pPr>
      <w:keepLines/>
      <w:tabs>
        <w:tab w:val="center" w:pos="4536"/>
        <w:tab w:val="right" w:pos="9072"/>
      </w:tabs>
    </w:pPr>
    <w:rPr>
      <w:noProof/>
    </w:rPr>
  </w:style>
  <w:style w:type="character" w:customStyle="1" w:styleId="ZGSM">
    <w:name w:val="ZGSM"/>
    <w:rsid w:val="00D96E2A"/>
  </w:style>
  <w:style w:type="paragraph" w:styleId="stBilgi">
    <w:name w:val="header"/>
    <w:rsid w:val="00D96E2A"/>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D96E2A"/>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5">
    <w:name w:val="toc 5"/>
    <w:basedOn w:val="T4"/>
    <w:semiHidden/>
    <w:rsid w:val="00D96E2A"/>
    <w:pPr>
      <w:ind w:left="1701" w:hanging="1701"/>
    </w:pPr>
  </w:style>
  <w:style w:type="paragraph" w:styleId="T4">
    <w:name w:val="toc 4"/>
    <w:basedOn w:val="T3"/>
    <w:semiHidden/>
    <w:rsid w:val="00D96E2A"/>
    <w:pPr>
      <w:ind w:left="1418" w:hanging="1418"/>
    </w:pPr>
  </w:style>
  <w:style w:type="paragraph" w:styleId="T3">
    <w:name w:val="toc 3"/>
    <w:basedOn w:val="T2"/>
    <w:semiHidden/>
    <w:rsid w:val="00D96E2A"/>
    <w:pPr>
      <w:ind w:left="1134" w:hanging="1134"/>
    </w:pPr>
  </w:style>
  <w:style w:type="paragraph" w:styleId="T2">
    <w:name w:val="toc 2"/>
    <w:basedOn w:val="T1"/>
    <w:semiHidden/>
    <w:rsid w:val="00D96E2A"/>
    <w:pPr>
      <w:spacing w:before="0"/>
      <w:ind w:left="851" w:hanging="851"/>
    </w:pPr>
    <w:rPr>
      <w:sz w:val="20"/>
    </w:rPr>
  </w:style>
  <w:style w:type="paragraph" w:styleId="Dizin1">
    <w:name w:val="index 1"/>
    <w:basedOn w:val="Normal"/>
    <w:semiHidden/>
    <w:rsid w:val="00D96E2A"/>
    <w:pPr>
      <w:keepLines/>
    </w:pPr>
  </w:style>
  <w:style w:type="paragraph" w:styleId="Dizin2">
    <w:name w:val="index 2"/>
    <w:basedOn w:val="Dizin1"/>
    <w:semiHidden/>
    <w:rsid w:val="00D96E2A"/>
    <w:pPr>
      <w:ind w:left="284"/>
    </w:pPr>
  </w:style>
  <w:style w:type="paragraph" w:customStyle="1" w:styleId="TT">
    <w:name w:val="TT"/>
    <w:basedOn w:val="Balk1"/>
    <w:next w:val="Normal"/>
    <w:rsid w:val="00D96E2A"/>
    <w:pPr>
      <w:outlineLvl w:val="9"/>
    </w:pPr>
  </w:style>
  <w:style w:type="paragraph" w:styleId="AltBilgi">
    <w:name w:val="footer"/>
    <w:basedOn w:val="stBilgi"/>
    <w:rsid w:val="00D96E2A"/>
    <w:pPr>
      <w:jc w:val="center"/>
    </w:pPr>
    <w:rPr>
      <w:i/>
    </w:rPr>
  </w:style>
  <w:style w:type="character" w:styleId="DipnotBavurusu">
    <w:name w:val="footnote reference"/>
    <w:basedOn w:val="VarsaylanParagrafYazTipi"/>
    <w:semiHidden/>
    <w:rsid w:val="00D96E2A"/>
    <w:rPr>
      <w:b/>
      <w:position w:val="6"/>
      <w:sz w:val="16"/>
    </w:rPr>
  </w:style>
  <w:style w:type="paragraph" w:styleId="DipnotMetni">
    <w:name w:val="footnote text"/>
    <w:basedOn w:val="Normal"/>
    <w:semiHidden/>
    <w:rsid w:val="00D96E2A"/>
    <w:pPr>
      <w:keepLines/>
      <w:ind w:left="454" w:hanging="454"/>
    </w:pPr>
    <w:rPr>
      <w:sz w:val="16"/>
    </w:rPr>
  </w:style>
  <w:style w:type="paragraph" w:customStyle="1" w:styleId="NF">
    <w:name w:val="NF"/>
    <w:basedOn w:val="NO"/>
    <w:rsid w:val="00D96E2A"/>
    <w:pPr>
      <w:keepNext/>
      <w:spacing w:after="0"/>
    </w:pPr>
    <w:rPr>
      <w:rFonts w:ascii="Arial" w:hAnsi="Arial"/>
      <w:sz w:val="18"/>
    </w:rPr>
  </w:style>
  <w:style w:type="paragraph" w:customStyle="1" w:styleId="NO">
    <w:name w:val="NO"/>
    <w:basedOn w:val="Normal"/>
    <w:rsid w:val="00D96E2A"/>
    <w:pPr>
      <w:keepLines/>
      <w:ind w:left="1135" w:hanging="851"/>
    </w:pPr>
  </w:style>
  <w:style w:type="paragraph" w:customStyle="1" w:styleId="PL">
    <w:name w:val="PL"/>
    <w:rsid w:val="00D96E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D96E2A"/>
    <w:pPr>
      <w:jc w:val="right"/>
    </w:pPr>
  </w:style>
  <w:style w:type="paragraph" w:customStyle="1" w:styleId="TAL">
    <w:name w:val="TAL"/>
    <w:basedOn w:val="Normal"/>
    <w:rsid w:val="00D96E2A"/>
    <w:pPr>
      <w:keepNext/>
      <w:keepLines/>
      <w:spacing w:after="0"/>
    </w:pPr>
    <w:rPr>
      <w:rFonts w:ascii="Arial" w:hAnsi="Arial"/>
      <w:sz w:val="18"/>
    </w:rPr>
  </w:style>
  <w:style w:type="paragraph" w:styleId="ListeNumaras2">
    <w:name w:val="List Number 2"/>
    <w:basedOn w:val="ListeNumaras"/>
    <w:rsid w:val="00D96E2A"/>
    <w:pPr>
      <w:ind w:left="851"/>
    </w:pPr>
  </w:style>
  <w:style w:type="paragraph" w:styleId="ListeNumaras">
    <w:name w:val="List Number"/>
    <w:basedOn w:val="Liste"/>
    <w:rsid w:val="00D96E2A"/>
  </w:style>
  <w:style w:type="paragraph" w:styleId="Liste">
    <w:name w:val="List"/>
    <w:basedOn w:val="Normal"/>
    <w:rsid w:val="00D96E2A"/>
    <w:pPr>
      <w:ind w:left="568" w:hanging="284"/>
    </w:pPr>
  </w:style>
  <w:style w:type="paragraph" w:customStyle="1" w:styleId="TAH">
    <w:name w:val="TAH"/>
    <w:basedOn w:val="TAC"/>
    <w:rsid w:val="00D96E2A"/>
    <w:rPr>
      <w:b/>
    </w:rPr>
  </w:style>
  <w:style w:type="paragraph" w:customStyle="1" w:styleId="TAC">
    <w:name w:val="TAC"/>
    <w:basedOn w:val="TAL"/>
    <w:rsid w:val="00D96E2A"/>
    <w:pPr>
      <w:jc w:val="center"/>
    </w:pPr>
  </w:style>
  <w:style w:type="paragraph" w:customStyle="1" w:styleId="LD">
    <w:name w:val="LD"/>
    <w:rsid w:val="00D96E2A"/>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D96E2A"/>
    <w:pPr>
      <w:keepLines/>
      <w:ind w:left="1702" w:hanging="1418"/>
    </w:pPr>
  </w:style>
  <w:style w:type="paragraph" w:customStyle="1" w:styleId="FP">
    <w:name w:val="FP"/>
    <w:basedOn w:val="Normal"/>
    <w:rsid w:val="00D96E2A"/>
    <w:pPr>
      <w:spacing w:after="0"/>
    </w:pPr>
  </w:style>
  <w:style w:type="paragraph" w:customStyle="1" w:styleId="NW">
    <w:name w:val="NW"/>
    <w:basedOn w:val="NO"/>
    <w:rsid w:val="00D96E2A"/>
    <w:pPr>
      <w:spacing w:after="0"/>
    </w:pPr>
  </w:style>
  <w:style w:type="paragraph" w:customStyle="1" w:styleId="EW">
    <w:name w:val="EW"/>
    <w:basedOn w:val="EX"/>
    <w:rsid w:val="00D96E2A"/>
    <w:pPr>
      <w:spacing w:after="0"/>
    </w:pPr>
  </w:style>
  <w:style w:type="paragraph" w:customStyle="1" w:styleId="B10">
    <w:name w:val="B1"/>
    <w:basedOn w:val="Liste"/>
    <w:rsid w:val="00D96E2A"/>
    <w:pPr>
      <w:ind w:left="738" w:hanging="454"/>
    </w:pPr>
  </w:style>
  <w:style w:type="paragraph" w:styleId="T6">
    <w:name w:val="toc 6"/>
    <w:basedOn w:val="T5"/>
    <w:next w:val="Normal"/>
    <w:semiHidden/>
    <w:rsid w:val="00D96E2A"/>
    <w:pPr>
      <w:ind w:left="1985" w:hanging="1985"/>
    </w:pPr>
  </w:style>
  <w:style w:type="paragraph" w:styleId="T7">
    <w:name w:val="toc 7"/>
    <w:basedOn w:val="T6"/>
    <w:next w:val="Normal"/>
    <w:semiHidden/>
    <w:rsid w:val="00D96E2A"/>
    <w:pPr>
      <w:ind w:left="2268" w:hanging="2268"/>
    </w:pPr>
  </w:style>
  <w:style w:type="paragraph" w:styleId="ListeMaddemi2">
    <w:name w:val="List Bullet 2"/>
    <w:basedOn w:val="ListeMaddemi"/>
    <w:rsid w:val="00D96E2A"/>
    <w:pPr>
      <w:ind w:left="851"/>
    </w:pPr>
  </w:style>
  <w:style w:type="paragraph" w:styleId="ListeMaddemi">
    <w:name w:val="List Bullet"/>
    <w:basedOn w:val="Liste"/>
    <w:rsid w:val="00D96E2A"/>
  </w:style>
  <w:style w:type="paragraph" w:customStyle="1" w:styleId="EditorsNote">
    <w:name w:val="Editor's Note"/>
    <w:basedOn w:val="NO"/>
    <w:rsid w:val="00D96E2A"/>
    <w:rPr>
      <w:color w:val="FF0000"/>
    </w:rPr>
  </w:style>
  <w:style w:type="paragraph" w:customStyle="1" w:styleId="TH">
    <w:name w:val="TH"/>
    <w:basedOn w:val="FL"/>
    <w:next w:val="FL"/>
    <w:rsid w:val="00D96E2A"/>
  </w:style>
  <w:style w:type="paragraph" w:customStyle="1" w:styleId="ZA">
    <w:name w:val="ZA"/>
    <w:rsid w:val="00D96E2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D96E2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D96E2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D96E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D96E2A"/>
    <w:pPr>
      <w:ind w:left="851" w:hanging="851"/>
    </w:pPr>
  </w:style>
  <w:style w:type="paragraph" w:customStyle="1" w:styleId="ZH">
    <w:name w:val="ZH"/>
    <w:rsid w:val="00D96E2A"/>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D96E2A"/>
    <w:pPr>
      <w:keepNext w:val="0"/>
      <w:spacing w:before="0" w:after="240"/>
    </w:pPr>
  </w:style>
  <w:style w:type="paragraph" w:customStyle="1" w:styleId="ZG">
    <w:name w:val="ZG"/>
    <w:rsid w:val="00D96E2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Maddemi3">
    <w:name w:val="List Bullet 3"/>
    <w:basedOn w:val="ListeMaddemi2"/>
    <w:rsid w:val="00D96E2A"/>
    <w:pPr>
      <w:ind w:left="1135"/>
    </w:pPr>
  </w:style>
  <w:style w:type="paragraph" w:styleId="Liste2">
    <w:name w:val="List 2"/>
    <w:basedOn w:val="Liste"/>
    <w:rsid w:val="00D96E2A"/>
    <w:pPr>
      <w:ind w:left="851"/>
    </w:pPr>
  </w:style>
  <w:style w:type="paragraph" w:styleId="Liste3">
    <w:name w:val="List 3"/>
    <w:basedOn w:val="Liste2"/>
    <w:rsid w:val="00D96E2A"/>
    <w:pPr>
      <w:ind w:left="1135"/>
    </w:pPr>
  </w:style>
  <w:style w:type="paragraph" w:styleId="Liste4">
    <w:name w:val="List 4"/>
    <w:basedOn w:val="Liste3"/>
    <w:rsid w:val="00D96E2A"/>
    <w:pPr>
      <w:ind w:left="1418"/>
    </w:pPr>
  </w:style>
  <w:style w:type="paragraph" w:styleId="Liste5">
    <w:name w:val="List 5"/>
    <w:basedOn w:val="Liste4"/>
    <w:rsid w:val="00D96E2A"/>
    <w:pPr>
      <w:ind w:left="1702"/>
    </w:pPr>
  </w:style>
  <w:style w:type="paragraph" w:styleId="ListeMaddemi4">
    <w:name w:val="List Bullet 4"/>
    <w:basedOn w:val="ListeMaddemi3"/>
    <w:rsid w:val="00D96E2A"/>
    <w:pPr>
      <w:ind w:left="1418"/>
    </w:pPr>
  </w:style>
  <w:style w:type="paragraph" w:styleId="ListeMaddemi5">
    <w:name w:val="List Bullet 5"/>
    <w:basedOn w:val="ListeMaddemi4"/>
    <w:rsid w:val="00D96E2A"/>
    <w:pPr>
      <w:ind w:left="1702"/>
    </w:pPr>
  </w:style>
  <w:style w:type="paragraph" w:customStyle="1" w:styleId="B20">
    <w:name w:val="B2"/>
    <w:basedOn w:val="Liste2"/>
    <w:rsid w:val="00D96E2A"/>
    <w:pPr>
      <w:ind w:left="1191" w:hanging="454"/>
    </w:pPr>
  </w:style>
  <w:style w:type="paragraph" w:customStyle="1" w:styleId="B30">
    <w:name w:val="B3"/>
    <w:basedOn w:val="Liste3"/>
    <w:rsid w:val="00D96E2A"/>
    <w:pPr>
      <w:ind w:left="1645" w:hanging="454"/>
    </w:pPr>
  </w:style>
  <w:style w:type="paragraph" w:customStyle="1" w:styleId="B4">
    <w:name w:val="B4"/>
    <w:basedOn w:val="Liste4"/>
    <w:rsid w:val="00D96E2A"/>
    <w:pPr>
      <w:ind w:left="2098" w:hanging="454"/>
    </w:pPr>
  </w:style>
  <w:style w:type="paragraph" w:customStyle="1" w:styleId="B5">
    <w:name w:val="B5"/>
    <w:basedOn w:val="Liste5"/>
    <w:rsid w:val="00D96E2A"/>
    <w:pPr>
      <w:ind w:left="2552" w:hanging="454"/>
    </w:pPr>
  </w:style>
  <w:style w:type="paragraph" w:customStyle="1" w:styleId="ZTD">
    <w:name w:val="ZTD"/>
    <w:basedOn w:val="ZB"/>
    <w:rsid w:val="00D96E2A"/>
    <w:pPr>
      <w:framePr w:hRule="auto" w:wrap="notBeside" w:y="852"/>
    </w:pPr>
    <w:rPr>
      <w:i w:val="0"/>
      <w:sz w:val="40"/>
    </w:rPr>
  </w:style>
  <w:style w:type="paragraph" w:customStyle="1" w:styleId="ZV">
    <w:name w:val="ZV"/>
    <w:basedOn w:val="ZU"/>
    <w:rsid w:val="00D96E2A"/>
    <w:pPr>
      <w:framePr w:wrap="notBeside" w:y="16161"/>
    </w:pPr>
  </w:style>
  <w:style w:type="paragraph" w:styleId="DizinBal">
    <w:name w:val="index heading"/>
    <w:basedOn w:val="Normal"/>
    <w:next w:val="Normal"/>
    <w:semiHidden/>
    <w:pPr>
      <w:pBdr>
        <w:top w:val="single" w:sz="12" w:space="0" w:color="auto"/>
      </w:pBdr>
      <w:spacing w:before="360" w:after="240"/>
    </w:pPr>
    <w:rPr>
      <w:b/>
      <w:i/>
      <w:sz w:val="26"/>
    </w:rPr>
  </w:style>
  <w:style w:type="character" w:styleId="Kpr">
    <w:name w:val="Hyperlink"/>
    <w:basedOn w:val="VarsaylanParagrafYazTipi"/>
    <w:rPr>
      <w:color w:val="0000FF"/>
      <w:u w:val="single"/>
    </w:rPr>
  </w:style>
  <w:style w:type="character" w:styleId="zlenenKpr">
    <w:name w:val="FollowedHyperlink"/>
    <w:basedOn w:val="VarsaylanParagrafYazTipi"/>
    <w:rPr>
      <w:color w:val="800080"/>
      <w:u w:val="single"/>
    </w:rPr>
  </w:style>
  <w:style w:type="character" w:styleId="AklamaBavurusu">
    <w:name w:val="annotation reference"/>
    <w:basedOn w:val="VarsaylanParagrafYazTipi"/>
    <w:semiHidden/>
    <w:rPr>
      <w:sz w:val="16"/>
    </w:rPr>
  </w:style>
  <w:style w:type="paragraph" w:styleId="AklamaMetni">
    <w:name w:val="annotation text"/>
    <w:basedOn w:val="Normal"/>
    <w:semiHidden/>
  </w:style>
  <w:style w:type="paragraph" w:customStyle="1" w:styleId="B1">
    <w:name w:val="B1+"/>
    <w:basedOn w:val="B10"/>
    <w:rsid w:val="00D96E2A"/>
    <w:pPr>
      <w:numPr>
        <w:numId w:val="1"/>
      </w:numPr>
    </w:pPr>
  </w:style>
  <w:style w:type="paragraph" w:customStyle="1" w:styleId="B3">
    <w:name w:val="B3+"/>
    <w:basedOn w:val="B30"/>
    <w:rsid w:val="00D96E2A"/>
    <w:pPr>
      <w:numPr>
        <w:numId w:val="3"/>
      </w:numPr>
      <w:tabs>
        <w:tab w:val="left" w:pos="1134"/>
      </w:tabs>
    </w:pPr>
  </w:style>
  <w:style w:type="paragraph" w:customStyle="1" w:styleId="B2">
    <w:name w:val="B2+"/>
    <w:basedOn w:val="B20"/>
    <w:rsid w:val="00D96E2A"/>
    <w:pPr>
      <w:numPr>
        <w:numId w:val="2"/>
      </w:numPr>
    </w:pPr>
  </w:style>
  <w:style w:type="paragraph" w:customStyle="1" w:styleId="BL">
    <w:name w:val="BL"/>
    <w:basedOn w:val="Normal"/>
    <w:rsid w:val="00D96E2A"/>
    <w:pPr>
      <w:numPr>
        <w:numId w:val="5"/>
      </w:numPr>
      <w:tabs>
        <w:tab w:val="left" w:pos="851"/>
      </w:tabs>
    </w:pPr>
  </w:style>
  <w:style w:type="paragraph" w:customStyle="1" w:styleId="BN">
    <w:name w:val="BN"/>
    <w:basedOn w:val="Normal"/>
    <w:rsid w:val="00D96E2A"/>
    <w:pPr>
      <w:numPr>
        <w:numId w:val="4"/>
      </w:numPr>
    </w:pPr>
  </w:style>
  <w:style w:type="paragraph" w:styleId="ResimYazs">
    <w:name w:val="caption"/>
    <w:basedOn w:val="Normal"/>
    <w:next w:val="Normal"/>
    <w:qFormat/>
    <w:pPr>
      <w:spacing w:before="120" w:after="120"/>
    </w:pPr>
    <w:rPr>
      <w:b/>
      <w:bCs/>
    </w:rPr>
  </w:style>
  <w:style w:type="paragraph" w:styleId="GvdeMetni">
    <w:name w:val="Body Text"/>
    <w:basedOn w:val="Normal"/>
    <w:pPr>
      <w:jc w:val="both"/>
    </w:pPr>
  </w:style>
  <w:style w:type="paragraph" w:customStyle="1" w:styleId="TAJ">
    <w:name w:val="TAJ"/>
    <w:basedOn w:val="Normal"/>
    <w:rsid w:val="00D96E2A"/>
    <w:pPr>
      <w:keepNext/>
      <w:keepLines/>
      <w:spacing w:after="0"/>
      <w:jc w:val="both"/>
    </w:pPr>
    <w:rPr>
      <w:rFonts w:ascii="Arial" w:hAnsi="Arial"/>
      <w:sz w:val="18"/>
    </w:rPr>
  </w:style>
  <w:style w:type="paragraph" w:styleId="GvdeMetni2">
    <w:name w:val="Body Text 2"/>
    <w:basedOn w:val="Normal"/>
    <w:pPr>
      <w:jc w:val="both"/>
    </w:pPr>
    <w:rPr>
      <w:color w:val="000000"/>
    </w:rPr>
  </w:style>
  <w:style w:type="paragraph" w:styleId="GvdeMetniGirintisi">
    <w:name w:val="Body Text Indent"/>
    <w:basedOn w:val="Normal"/>
    <w:pPr>
      <w:ind w:left="810"/>
      <w:jc w:val="both"/>
    </w:pPr>
  </w:style>
  <w:style w:type="paragraph" w:styleId="bekMetni">
    <w:name w:val="Block Text"/>
    <w:basedOn w:val="Normal"/>
    <w:pPr>
      <w:spacing w:after="120"/>
      <w:ind w:left="1440" w:right="1440"/>
    </w:pPr>
  </w:style>
  <w:style w:type="paragraph" w:styleId="GvdeMetni3">
    <w:name w:val="Body Text 3"/>
    <w:basedOn w:val="Normal"/>
    <w:pPr>
      <w:spacing w:after="120"/>
    </w:pPr>
    <w:rPr>
      <w:sz w:val="16"/>
      <w:szCs w:val="16"/>
    </w:rPr>
  </w:style>
  <w:style w:type="paragraph" w:styleId="GvdeMetnilkGirintisi">
    <w:name w:val="Body Text First Indent"/>
    <w:basedOn w:val="GvdeMetni"/>
    <w:pPr>
      <w:spacing w:after="120"/>
      <w:ind w:firstLine="210"/>
      <w:jc w:val="left"/>
    </w:pPr>
  </w:style>
  <w:style w:type="paragraph" w:styleId="GvdeMetnilkGirintisi2">
    <w:name w:val="Body Text First Indent 2"/>
    <w:basedOn w:val="GvdeMetniGirintisi"/>
    <w:pPr>
      <w:numPr>
        <w:numId w:val="2"/>
      </w:numPr>
      <w:spacing w:after="120"/>
      <w:jc w:val="left"/>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szCs w:val="16"/>
    </w:rPr>
  </w:style>
  <w:style w:type="paragraph" w:styleId="Kapan">
    <w:name w:val="Closing"/>
    <w:basedOn w:val="Normal"/>
    <w:pPr>
      <w:ind w:left="4252"/>
    </w:pPr>
  </w:style>
  <w:style w:type="paragraph" w:styleId="Tarih">
    <w:name w:val="Date"/>
    <w:basedOn w:val="Normal"/>
    <w:next w:val="Normal"/>
  </w:style>
  <w:style w:type="paragraph" w:styleId="BelgeBalantlar">
    <w:name w:val="Document Map"/>
    <w:basedOn w:val="Normal"/>
    <w:semiHidden/>
    <w:pPr>
      <w:shd w:val="clear" w:color="auto" w:fill="000080"/>
    </w:pPr>
    <w:rPr>
      <w:rFonts w:ascii="Tahoma" w:hAnsi="Tahoma" w:cs="Tahoma"/>
    </w:rPr>
  </w:style>
  <w:style w:type="paragraph" w:styleId="E-postamzas">
    <w:name w:val="E-mail Signature"/>
    <w:basedOn w:val="Normal"/>
  </w:style>
  <w:style w:type="character" w:styleId="Vurgu">
    <w:name w:val="Emphasis"/>
    <w:basedOn w:val="VarsaylanParagrafYazTipi"/>
    <w:qFormat/>
    <w:rPr>
      <w:i/>
      <w:iCs/>
    </w:rPr>
  </w:style>
  <w:style w:type="character" w:styleId="SonnotBavurusu">
    <w:name w:val="endnote reference"/>
    <w:basedOn w:val="VarsaylanParagrafYazTipi"/>
    <w:semiHidden/>
    <w:rPr>
      <w:vertAlign w:val="superscript"/>
    </w:rPr>
  </w:style>
  <w:style w:type="paragraph" w:styleId="SonnotMetni">
    <w:name w:val="endnote text"/>
    <w:basedOn w:val="Normal"/>
    <w:semiHidden/>
  </w:style>
  <w:style w:type="paragraph" w:styleId="MektupAdresi">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ZarfDn">
    <w:name w:val="envelope return"/>
    <w:basedOn w:val="Normal"/>
    <w:rPr>
      <w:rFonts w:ascii="Arial" w:hAnsi="Arial" w:cs="Arial"/>
    </w:rPr>
  </w:style>
  <w:style w:type="character" w:styleId="HTMLKsaltmas">
    <w:name w:val="HTML Acronym"/>
    <w:basedOn w:val="VarsaylanParagrafYazTipi"/>
  </w:style>
  <w:style w:type="paragraph" w:styleId="HTMLAdresi">
    <w:name w:val="HTML Address"/>
    <w:basedOn w:val="Normal"/>
    <w:rPr>
      <w:i/>
      <w:iCs/>
    </w:rPr>
  </w:style>
  <w:style w:type="character" w:styleId="HTMLCite">
    <w:name w:val="HTML Cite"/>
    <w:basedOn w:val="VarsaylanParagrafYazTipi"/>
    <w:rPr>
      <w:i/>
      <w:iCs/>
    </w:rPr>
  </w:style>
  <w:style w:type="character" w:styleId="HTMLKodu">
    <w:name w:val="HTML Code"/>
    <w:basedOn w:val="VarsaylanParagrafYazTipi"/>
    <w:rPr>
      <w:rFonts w:ascii="Courier New" w:hAnsi="Courier New"/>
      <w:sz w:val="20"/>
      <w:szCs w:val="20"/>
    </w:rPr>
  </w:style>
  <w:style w:type="character" w:styleId="HTMLTanm">
    <w:name w:val="HTML Definition"/>
    <w:basedOn w:val="VarsaylanParagrafYazTipi"/>
    <w:rPr>
      <w:i/>
      <w:iCs/>
    </w:rPr>
  </w:style>
  <w:style w:type="character" w:styleId="HTMLKlavye">
    <w:name w:val="HTML Keyboard"/>
    <w:basedOn w:val="VarsaylanParagrafYazTipi"/>
    <w:rPr>
      <w:rFonts w:ascii="Courier New" w:hAnsi="Courier New"/>
      <w:sz w:val="20"/>
      <w:szCs w:val="20"/>
    </w:rPr>
  </w:style>
  <w:style w:type="paragraph" w:styleId="HTMLncedenBiimlendirilmi">
    <w:name w:val="HTML Preformatted"/>
    <w:basedOn w:val="Normal"/>
    <w:rPr>
      <w:rFonts w:ascii="Courier New" w:hAnsi="Courier New" w:cs="Courier New"/>
    </w:rPr>
  </w:style>
  <w:style w:type="character" w:styleId="HTMLrnek">
    <w:name w:val="HTML Sample"/>
    <w:basedOn w:val="VarsaylanParagrafYazTipi"/>
    <w:rPr>
      <w:rFonts w:ascii="Courier New" w:hAnsi="Courier New"/>
    </w:rPr>
  </w:style>
  <w:style w:type="character" w:styleId="HTMLDaktilo">
    <w:name w:val="HTML Typewriter"/>
    <w:basedOn w:val="VarsaylanParagrafYazTipi"/>
    <w:rPr>
      <w:rFonts w:ascii="Courier New" w:hAnsi="Courier New"/>
      <w:sz w:val="20"/>
      <w:szCs w:val="20"/>
    </w:rPr>
  </w:style>
  <w:style w:type="character" w:styleId="HTMLDeiken">
    <w:name w:val="HTML Variable"/>
    <w:basedOn w:val="VarsaylanParagrafYazTipi"/>
    <w:rPr>
      <w:i/>
      <w:iCs/>
    </w:rPr>
  </w:style>
  <w:style w:type="paragraph" w:styleId="Dizin3">
    <w:name w:val="index 3"/>
    <w:basedOn w:val="Normal"/>
    <w:next w:val="Normal"/>
    <w:autoRedefine/>
    <w:semiHidden/>
    <w:pPr>
      <w:ind w:left="600" w:hanging="200"/>
    </w:pPr>
  </w:style>
  <w:style w:type="paragraph" w:styleId="Dizin4">
    <w:name w:val="index 4"/>
    <w:basedOn w:val="Normal"/>
    <w:next w:val="Normal"/>
    <w:autoRedefine/>
    <w:semiHidden/>
    <w:pPr>
      <w:ind w:left="800" w:hanging="200"/>
    </w:pPr>
  </w:style>
  <w:style w:type="paragraph" w:styleId="Dizin5">
    <w:name w:val="index 5"/>
    <w:basedOn w:val="Normal"/>
    <w:next w:val="Normal"/>
    <w:autoRedefine/>
    <w:semiHidden/>
    <w:pPr>
      <w:ind w:left="1000" w:hanging="200"/>
    </w:pPr>
  </w:style>
  <w:style w:type="paragraph" w:styleId="Dizin6">
    <w:name w:val="index 6"/>
    <w:basedOn w:val="Normal"/>
    <w:next w:val="Normal"/>
    <w:autoRedefine/>
    <w:semiHidden/>
    <w:pPr>
      <w:ind w:left="1200" w:hanging="200"/>
    </w:pPr>
  </w:style>
  <w:style w:type="paragraph" w:styleId="Dizin7">
    <w:name w:val="index 7"/>
    <w:basedOn w:val="Normal"/>
    <w:next w:val="Normal"/>
    <w:autoRedefine/>
    <w:semiHidden/>
    <w:pPr>
      <w:ind w:left="1400" w:hanging="200"/>
    </w:pPr>
  </w:style>
  <w:style w:type="paragraph" w:styleId="Dizin8">
    <w:name w:val="index 8"/>
    <w:basedOn w:val="Normal"/>
    <w:next w:val="Normal"/>
    <w:autoRedefine/>
    <w:semiHidden/>
    <w:pPr>
      <w:ind w:left="1600" w:hanging="200"/>
    </w:pPr>
  </w:style>
  <w:style w:type="paragraph" w:styleId="Dizin9">
    <w:name w:val="index 9"/>
    <w:basedOn w:val="Normal"/>
    <w:next w:val="Normal"/>
    <w:autoRedefine/>
    <w:semiHidden/>
    <w:pPr>
      <w:ind w:left="1800" w:hanging="200"/>
    </w:pPr>
  </w:style>
  <w:style w:type="character" w:styleId="SatrNumaras">
    <w:name w:val="line number"/>
    <w:basedOn w:val="VarsaylanParagrafYazTipi"/>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3">
    <w:name w:val="List Number 3"/>
    <w:basedOn w:val="Normal"/>
    <w:pPr>
      <w:numPr>
        <w:numId w:val="6"/>
      </w:numPr>
    </w:pPr>
  </w:style>
  <w:style w:type="paragraph" w:styleId="ListeNumaras4">
    <w:name w:val="List Number 4"/>
    <w:basedOn w:val="Normal"/>
    <w:pPr>
      <w:numPr>
        <w:numId w:val="7"/>
      </w:numPr>
    </w:pPr>
  </w:style>
  <w:style w:type="paragraph" w:styleId="ListeNumaras5">
    <w:name w:val="List Number 5"/>
    <w:basedOn w:val="Normal"/>
    <w:pPr>
      <w:numPr>
        <w:numId w:val="8"/>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Girinti">
    <w:name w:val="Normal Indent"/>
    <w:basedOn w:val="Normal"/>
    <w:pPr>
      <w:ind w:left="720"/>
    </w:pPr>
  </w:style>
  <w:style w:type="paragraph" w:styleId="NotBal">
    <w:name w:val="Note Heading"/>
    <w:basedOn w:val="Normal"/>
    <w:next w:val="Normal"/>
  </w:style>
  <w:style w:type="character" w:styleId="SayfaNumaras">
    <w:name w:val="page number"/>
    <w:basedOn w:val="VarsaylanParagrafYazTipi"/>
  </w:style>
  <w:style w:type="paragraph" w:styleId="DzMetin">
    <w:name w:val="Plain Text"/>
    <w:basedOn w:val="Normal"/>
    <w:rPr>
      <w:rFonts w:ascii="Courier New" w:hAnsi="Courier New" w:cs="Courier New"/>
    </w:rPr>
  </w:style>
  <w:style w:type="paragraph" w:styleId="Selamlama">
    <w:name w:val="Salutation"/>
    <w:basedOn w:val="Normal"/>
    <w:next w:val="Normal"/>
  </w:style>
  <w:style w:type="paragraph" w:styleId="mza">
    <w:name w:val="Signature"/>
    <w:basedOn w:val="Normal"/>
    <w:pPr>
      <w:ind w:left="4252"/>
    </w:pPr>
  </w:style>
  <w:style w:type="character" w:styleId="Gl">
    <w:name w:val="Strong"/>
    <w:basedOn w:val="VarsaylanParagrafYazTipi"/>
    <w:qFormat/>
    <w:rPr>
      <w:b/>
      <w:bCs/>
    </w:rPr>
  </w:style>
  <w:style w:type="paragraph" w:styleId="Altyaz">
    <w:name w:val="Subtitle"/>
    <w:basedOn w:val="Normal"/>
    <w:qFormat/>
    <w:pPr>
      <w:spacing w:after="60"/>
      <w:jc w:val="center"/>
      <w:outlineLvl w:val="1"/>
    </w:pPr>
    <w:rPr>
      <w:rFonts w:ascii="Arial" w:hAnsi="Arial" w:cs="Arial"/>
      <w:sz w:val="24"/>
      <w:szCs w:val="24"/>
    </w:rPr>
  </w:style>
  <w:style w:type="paragraph" w:styleId="Kaynaka">
    <w:name w:val="table of authorities"/>
    <w:basedOn w:val="Normal"/>
    <w:next w:val="Normal"/>
    <w:semiHidden/>
    <w:pPr>
      <w:ind w:left="200" w:hanging="200"/>
    </w:pPr>
  </w:style>
  <w:style w:type="paragraph" w:styleId="ekillerTablosu">
    <w:name w:val="table of figures"/>
    <w:basedOn w:val="Normal"/>
    <w:next w:val="Normal"/>
    <w:semiHidden/>
    <w:pPr>
      <w:ind w:left="400" w:hanging="400"/>
    </w:pPr>
  </w:style>
  <w:style w:type="paragraph" w:styleId="KonuBal">
    <w:name w:val="Title"/>
    <w:basedOn w:val="Normal"/>
    <w:qFormat/>
    <w:pPr>
      <w:spacing w:before="240" w:after="60"/>
      <w:jc w:val="center"/>
      <w:outlineLvl w:val="0"/>
    </w:pPr>
    <w:rPr>
      <w:rFonts w:ascii="Arial" w:hAnsi="Arial" w:cs="Arial"/>
      <w:b/>
      <w:bCs/>
      <w:kern w:val="28"/>
      <w:sz w:val="32"/>
      <w:szCs w:val="32"/>
    </w:rPr>
  </w:style>
  <w:style w:type="paragraph" w:styleId="KaynakaBal">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D96E2A"/>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header" Target="header5.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p.etsi.org/IPR/home.asp" TargetMode="External"/><Relationship Id="rId24" Type="http://schemas.openxmlformats.org/officeDocument/2006/relationships/image" Target="media/image8.wmf"/><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mailto:editor@etsi.org" TargetMode="External"/><Relationship Id="rId19" Type="http://schemas.openxmlformats.org/officeDocument/2006/relationships/oleObject" Target="embeddings/oleObject5.bin"/><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ortal.etsi.org/tb/status/status.asp"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footer" Target="footer1.xml"/><Relationship Id="rId35" Type="http://schemas.openxmlformats.org/officeDocument/2006/relationships/footer" Target="footer4.xml"/><Relationship Id="rId8" Type="http://schemas.openxmlformats.org/officeDocument/2006/relationships/hyperlink" Target="http://www.etsi.or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ETSIW_80</Template>
  <TotalTime>0</TotalTime>
  <Pages>17</Pages>
  <Words>4130</Words>
  <Characters>23547</Characters>
  <Application>Microsoft Office Word</Application>
  <DocSecurity>0</DocSecurity>
  <Lines>196</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ETSI TR 102 070-2 V1.1.1</vt:lpstr>
      <vt:lpstr>ETSI TR 102 070-2 V1.1.1</vt:lpstr>
    </vt:vector>
  </TitlesOfParts>
  <Company>ETSI Secretariat</Company>
  <LinksUpToDate>false</LinksUpToDate>
  <CharactersWithSpaces>27622</CharactersWithSpaces>
  <SharedDoc>false</SharedDoc>
  <HLinks>
    <vt:vector size="24" baseType="variant">
      <vt:variant>
        <vt:i4>3538988</vt:i4>
      </vt:variant>
      <vt:variant>
        <vt:i4>132</vt:i4>
      </vt:variant>
      <vt:variant>
        <vt:i4>0</vt:i4>
      </vt:variant>
      <vt:variant>
        <vt:i4>5</vt:i4>
      </vt:variant>
      <vt:variant>
        <vt:lpwstr>http://webapp.etsi.org/IPR/home.asp</vt:lpwstr>
      </vt:variant>
      <vt:variant>
        <vt:lpwstr/>
      </vt:variant>
      <vt:variant>
        <vt:i4>5505122</vt:i4>
      </vt:variant>
      <vt:variant>
        <vt:i4>6</vt:i4>
      </vt:variant>
      <vt:variant>
        <vt:i4>0</vt:i4>
      </vt:variant>
      <vt:variant>
        <vt:i4>5</vt:i4>
      </vt:variant>
      <vt:variant>
        <vt:lpwstr>mailto:editor@etsi.org</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TR 102 070-2 V1.1.1</dc:title>
  <dc:subject>Electromagnetic compatibility and  Radio Spectrum Matters (ERM)</dc:subject>
  <dc:creator>MTR</dc:creator>
  <cp:keywords>ETS</cp:keywords>
  <dc:description/>
  <cp:lastModifiedBy>Ömer Faruk EMEKSİZ</cp:lastModifiedBy>
  <cp:revision>2</cp:revision>
  <cp:lastPrinted>2002-11-13T08:48:00Z</cp:lastPrinted>
  <dcterms:created xsi:type="dcterms:W3CDTF">2017-01-04T12:22:00Z</dcterms:created>
  <dcterms:modified xsi:type="dcterms:W3CDTF">2017-01-04T12:22:00Z</dcterms:modified>
</cp:coreProperties>
</file>