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327" w:rsidRPr="00F50327" w:rsidRDefault="00F50327" w:rsidP="00CF326F">
      <w:pPr>
        <w:shd w:val="clear" w:color="auto" w:fill="FFFFFF"/>
        <w:spacing w:before="120" w:after="120" w:line="360" w:lineRule="auto"/>
        <w:ind w:right="2"/>
        <w:jc w:val="center"/>
        <w:rPr>
          <w:rFonts w:ascii="Arial" w:hAnsi="Arial" w:cs="Arial"/>
          <w:b/>
          <w:bCs/>
          <w:spacing w:val="-2"/>
          <w:sz w:val="28"/>
          <w:szCs w:val="28"/>
          <w:u w:val="single"/>
        </w:rPr>
      </w:pPr>
      <w:bookmarkStart w:id="0" w:name="_GoBack"/>
      <w:bookmarkEnd w:id="0"/>
      <w:r w:rsidRPr="00F50327">
        <w:rPr>
          <w:rFonts w:ascii="Arial" w:hAnsi="Arial" w:cs="Arial"/>
          <w:b/>
          <w:sz w:val="28"/>
          <w:szCs w:val="28"/>
          <w:u w:val="single"/>
        </w:rPr>
        <w:t>DÜZENLEMELERDE AB STANDARDİZASYON POLİTİKASININ ROLÜ</w:t>
      </w:r>
    </w:p>
    <w:p w:rsidR="00F50327" w:rsidRDefault="00F50327" w:rsidP="00CF326F">
      <w:pPr>
        <w:shd w:val="clear" w:color="auto" w:fill="FFFFFF"/>
        <w:spacing w:before="120" w:after="120" w:line="360" w:lineRule="auto"/>
        <w:ind w:right="2"/>
        <w:jc w:val="center"/>
        <w:rPr>
          <w:rFonts w:ascii="Arial" w:hAnsi="Arial" w:cs="Arial"/>
          <w:b/>
          <w:bCs/>
          <w:spacing w:val="-2"/>
          <w:sz w:val="24"/>
          <w:szCs w:val="24"/>
        </w:rPr>
      </w:pPr>
    </w:p>
    <w:p w:rsidR="00E112ED" w:rsidRPr="00F50327" w:rsidRDefault="00CF326F" w:rsidP="00CF326F">
      <w:pPr>
        <w:shd w:val="clear" w:color="auto" w:fill="FFFFFF"/>
        <w:spacing w:before="120" w:after="120" w:line="360" w:lineRule="auto"/>
        <w:ind w:right="2"/>
        <w:jc w:val="center"/>
        <w:rPr>
          <w:rFonts w:ascii="Arial" w:hAnsi="Arial" w:cs="Arial"/>
          <w:sz w:val="24"/>
          <w:szCs w:val="24"/>
        </w:rPr>
      </w:pPr>
      <w:r w:rsidRPr="00F50327">
        <w:rPr>
          <w:rFonts w:ascii="Arial" w:hAnsi="Arial" w:cs="Arial"/>
          <w:b/>
          <w:bCs/>
          <w:spacing w:val="-2"/>
          <w:sz w:val="24"/>
          <w:szCs w:val="24"/>
        </w:rPr>
        <w:t>KOMİSYONUN AVRUPA PARLEMENTOSU</w:t>
      </w:r>
      <w:r w:rsidR="00BA612C" w:rsidRPr="00F50327">
        <w:rPr>
          <w:rFonts w:ascii="Arial" w:hAnsi="Arial" w:cs="Arial"/>
          <w:b/>
          <w:bCs/>
          <w:spacing w:val="-2"/>
          <w:sz w:val="24"/>
          <w:szCs w:val="24"/>
        </w:rPr>
        <w:t xml:space="preserve"> VE KONSEY</w:t>
      </w:r>
      <w:r w:rsidRPr="00F50327">
        <w:rPr>
          <w:rFonts w:ascii="Arial" w:hAnsi="Arial" w:cs="Arial"/>
          <w:b/>
          <w:bCs/>
          <w:spacing w:val="-2"/>
          <w:sz w:val="24"/>
          <w:szCs w:val="24"/>
        </w:rPr>
        <w:t>İNE</w:t>
      </w:r>
    </w:p>
    <w:p w:rsidR="00BA612C" w:rsidRPr="00F50327" w:rsidRDefault="00BA612C" w:rsidP="00CF326F">
      <w:pPr>
        <w:shd w:val="clear" w:color="auto" w:fill="FFFFFF"/>
        <w:spacing w:before="120" w:after="120" w:line="360" w:lineRule="auto"/>
        <w:ind w:right="2"/>
        <w:jc w:val="center"/>
        <w:rPr>
          <w:rFonts w:ascii="Arial" w:hAnsi="Arial" w:cs="Arial"/>
          <w:sz w:val="24"/>
          <w:szCs w:val="24"/>
        </w:rPr>
      </w:pPr>
      <w:r w:rsidRPr="00F50327">
        <w:rPr>
          <w:rFonts w:ascii="Arial" w:hAnsi="Arial" w:cs="Arial"/>
          <w:b/>
          <w:bCs/>
          <w:spacing w:val="-2"/>
          <w:sz w:val="24"/>
          <w:szCs w:val="24"/>
        </w:rPr>
        <w:t>Avrupa standardizasyonunun Avrupa politikaları ve yasamaları çerçevesindeki rolü</w:t>
      </w:r>
      <w:r w:rsidR="00CF326F" w:rsidRPr="00F50327">
        <w:rPr>
          <w:rFonts w:ascii="Arial" w:hAnsi="Arial" w:cs="Arial"/>
          <w:b/>
          <w:bCs/>
          <w:spacing w:val="-2"/>
          <w:sz w:val="24"/>
          <w:szCs w:val="24"/>
        </w:rPr>
        <w:t>ne ilişkin tebliği</w:t>
      </w:r>
    </w:p>
    <w:p w:rsidR="00E112ED" w:rsidRPr="00F50327" w:rsidRDefault="008231D7" w:rsidP="00CF326F">
      <w:pPr>
        <w:shd w:val="clear" w:color="auto" w:fill="FFFFFF"/>
        <w:spacing w:before="120" w:after="120" w:line="360" w:lineRule="auto"/>
        <w:ind w:right="2"/>
        <w:jc w:val="center"/>
        <w:rPr>
          <w:rFonts w:ascii="Arial" w:hAnsi="Arial" w:cs="Arial"/>
          <w:sz w:val="24"/>
          <w:szCs w:val="24"/>
        </w:rPr>
      </w:pPr>
      <w:r w:rsidRPr="00F50327">
        <w:rPr>
          <w:rFonts w:ascii="Arial" w:hAnsi="Arial" w:cs="Arial"/>
          <w:b/>
          <w:bCs/>
          <w:spacing w:val="-3"/>
          <w:sz w:val="24"/>
          <w:szCs w:val="24"/>
        </w:rPr>
        <w:t>(</w:t>
      </w:r>
      <w:r w:rsidR="00E112ED" w:rsidRPr="00F50327">
        <w:rPr>
          <w:rFonts w:ascii="Arial" w:hAnsi="Arial" w:cs="Arial"/>
          <w:b/>
          <w:bCs/>
          <w:spacing w:val="-3"/>
          <w:sz w:val="24"/>
          <w:szCs w:val="24"/>
        </w:rPr>
        <w:t xml:space="preserve">EEA </w:t>
      </w:r>
      <w:r w:rsidRPr="00F50327">
        <w:rPr>
          <w:rFonts w:ascii="Arial" w:hAnsi="Arial" w:cs="Arial"/>
          <w:b/>
          <w:bCs/>
          <w:spacing w:val="-3"/>
          <w:sz w:val="24"/>
          <w:szCs w:val="24"/>
        </w:rPr>
        <w:t>ilintili metin</w:t>
      </w:r>
      <w:r w:rsidR="00E112ED" w:rsidRPr="00F50327">
        <w:rPr>
          <w:rFonts w:ascii="Arial" w:hAnsi="Arial" w:cs="Arial"/>
          <w:b/>
          <w:bCs/>
          <w:spacing w:val="-3"/>
          <w:sz w:val="24"/>
          <w:szCs w:val="24"/>
        </w:rPr>
        <w:t>)</w:t>
      </w:r>
    </w:p>
    <w:p w:rsidR="00BA612C" w:rsidRDefault="00BA612C" w:rsidP="00F50327">
      <w:pPr>
        <w:shd w:val="clear" w:color="auto" w:fill="FFFFFF"/>
        <w:spacing w:line="360" w:lineRule="auto"/>
        <w:ind w:right="2"/>
        <w:jc w:val="both"/>
        <w:rPr>
          <w:rFonts w:ascii="Arial" w:hAnsi="Arial" w:cs="Arial"/>
          <w:b/>
          <w:bCs/>
          <w:smallCaps/>
          <w:spacing w:val="3"/>
          <w:sz w:val="24"/>
          <w:szCs w:val="24"/>
          <w:u w:val="single"/>
        </w:rPr>
      </w:pPr>
      <w:r w:rsidRPr="00F50327">
        <w:rPr>
          <w:rFonts w:ascii="Arial" w:hAnsi="Arial" w:cs="Arial"/>
          <w:b/>
          <w:bCs/>
          <w:smallCaps/>
          <w:spacing w:val="3"/>
          <w:sz w:val="24"/>
          <w:szCs w:val="24"/>
          <w:u w:val="single"/>
        </w:rPr>
        <w:t>1. …</w:t>
      </w:r>
      <w:r w:rsidR="008231D7" w:rsidRPr="00F50327">
        <w:rPr>
          <w:rFonts w:ascii="Arial" w:hAnsi="Arial" w:cs="Arial"/>
          <w:b/>
          <w:bCs/>
          <w:smallCaps/>
          <w:spacing w:val="3"/>
          <w:sz w:val="24"/>
          <w:szCs w:val="24"/>
          <w:u w:val="single"/>
        </w:rPr>
        <w:t>Yürütmeye ilişkin</w:t>
      </w:r>
      <w:r w:rsidR="00D43826" w:rsidRPr="00F50327">
        <w:rPr>
          <w:rFonts w:ascii="Arial" w:hAnsi="Arial" w:cs="Arial"/>
          <w:b/>
          <w:bCs/>
          <w:smallCaps/>
          <w:spacing w:val="3"/>
          <w:sz w:val="24"/>
          <w:szCs w:val="24"/>
          <w:u w:val="single"/>
        </w:rPr>
        <w:t xml:space="preserve"> </w:t>
      </w:r>
      <w:r w:rsidRPr="00F50327">
        <w:rPr>
          <w:rFonts w:ascii="Arial" w:hAnsi="Arial" w:cs="Arial"/>
          <w:b/>
          <w:bCs/>
          <w:smallCaps/>
          <w:spacing w:val="3"/>
          <w:sz w:val="24"/>
          <w:szCs w:val="24"/>
          <w:u w:val="single"/>
        </w:rPr>
        <w:t>Özet</w:t>
      </w:r>
    </w:p>
    <w:p w:rsidR="00F50327" w:rsidRPr="00F50327" w:rsidRDefault="00F50327" w:rsidP="00F50327">
      <w:pPr>
        <w:shd w:val="clear" w:color="auto" w:fill="FFFFFF"/>
        <w:spacing w:line="360" w:lineRule="auto"/>
        <w:ind w:right="2"/>
        <w:jc w:val="both"/>
        <w:rPr>
          <w:rFonts w:ascii="Arial" w:hAnsi="Arial" w:cs="Arial"/>
          <w:sz w:val="24"/>
          <w:szCs w:val="24"/>
        </w:rPr>
      </w:pPr>
    </w:p>
    <w:p w:rsidR="00BA612C" w:rsidRDefault="00BA612C"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Standardizasyon Konsey’in ve Komisyon’un politikalarının “daha iyi düzenleme”yi yürütebilmeleri </w:t>
      </w:r>
      <w:r w:rsidR="00F50327" w:rsidRPr="00F50327">
        <w:rPr>
          <w:rFonts w:ascii="Arial" w:hAnsi="Arial" w:cs="Arial"/>
          <w:sz w:val="24"/>
          <w:szCs w:val="24"/>
        </w:rPr>
        <w:t>için girişimlerin</w:t>
      </w:r>
      <w:r w:rsidRPr="00F50327">
        <w:rPr>
          <w:rFonts w:ascii="Arial" w:hAnsi="Arial" w:cs="Arial"/>
          <w:sz w:val="24"/>
          <w:szCs w:val="24"/>
        </w:rPr>
        <w:t xml:space="preserve"> rekabetçiliğini arttırmak ve ticaretin üzerinden uluslararası bariyerleri kaldırmaları için </w:t>
      </w:r>
      <w:r w:rsidR="007A5D1E" w:rsidRPr="00F50327">
        <w:rPr>
          <w:rFonts w:ascii="Arial" w:hAnsi="Arial" w:cs="Arial"/>
          <w:sz w:val="24"/>
          <w:szCs w:val="24"/>
        </w:rPr>
        <w:t>tamsayısal parçasıdır</w:t>
      </w:r>
      <w:r w:rsidRPr="00F50327">
        <w:rPr>
          <w:rFonts w:ascii="Arial" w:hAnsi="Arial" w:cs="Arial"/>
          <w:sz w:val="24"/>
          <w:szCs w:val="24"/>
        </w:rPr>
        <w:t>. Bu durum 1991 yılında Avrupa Parlamentosu tarafından ve Konseyin 28 Ekim 1999</w:t>
      </w:r>
      <w:r w:rsidR="00401287" w:rsidRPr="00F50327">
        <w:rPr>
          <w:rStyle w:val="DipnotBavurusu"/>
          <w:rFonts w:ascii="Arial" w:hAnsi="Arial" w:cs="Arial"/>
          <w:color w:val="000000"/>
          <w:spacing w:val="-1"/>
          <w:sz w:val="24"/>
          <w:szCs w:val="24"/>
          <w:lang w:val="en-US"/>
        </w:rPr>
        <w:footnoteReference w:id="1"/>
      </w:r>
      <w:r w:rsidRPr="00F50327">
        <w:rPr>
          <w:rFonts w:ascii="Arial" w:hAnsi="Arial" w:cs="Arial"/>
          <w:sz w:val="24"/>
          <w:szCs w:val="24"/>
        </w:rPr>
        <w:t xml:space="preserve"> tarihli Kararı ve 1 Mart 2002</w:t>
      </w:r>
      <w:r w:rsidR="00401287" w:rsidRPr="00F50327">
        <w:rPr>
          <w:rStyle w:val="DipnotBavurusu"/>
          <w:rFonts w:ascii="Arial" w:hAnsi="Arial" w:cs="Arial"/>
          <w:color w:val="000000"/>
          <w:sz w:val="24"/>
          <w:szCs w:val="24"/>
          <w:lang w:val="en-US"/>
        </w:rPr>
        <w:footnoteReference w:id="2"/>
      </w:r>
      <w:r w:rsidRPr="00F50327">
        <w:rPr>
          <w:rFonts w:ascii="Arial" w:hAnsi="Arial" w:cs="Arial"/>
          <w:sz w:val="24"/>
          <w:szCs w:val="24"/>
        </w:rPr>
        <w:t xml:space="preserve"> tarihli sonucu ile Avrupa’da standardizasyonun rolü teyit edilmiştir.</w:t>
      </w:r>
    </w:p>
    <w:p w:rsidR="00F50327" w:rsidRPr="00F50327" w:rsidRDefault="00F50327" w:rsidP="00F50327">
      <w:pPr>
        <w:shd w:val="clear" w:color="auto" w:fill="FFFFFF"/>
        <w:spacing w:line="360" w:lineRule="auto"/>
        <w:ind w:right="2"/>
        <w:jc w:val="both"/>
        <w:rPr>
          <w:rFonts w:ascii="Arial" w:hAnsi="Arial" w:cs="Arial"/>
          <w:sz w:val="24"/>
          <w:szCs w:val="24"/>
        </w:rPr>
      </w:pPr>
    </w:p>
    <w:p w:rsidR="004C1F55" w:rsidRDefault="00BA612C"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Aynı zamanda Konsey Komisyonu amaçları, bakış açısını ve Avrupa </w:t>
      </w:r>
      <w:proofErr w:type="gramStart"/>
      <w:r w:rsidRPr="00F50327">
        <w:rPr>
          <w:rFonts w:ascii="Arial" w:hAnsi="Arial" w:cs="Arial"/>
          <w:sz w:val="24"/>
          <w:szCs w:val="24"/>
        </w:rPr>
        <w:t>standardizasyon</w:t>
      </w:r>
      <w:proofErr w:type="gramEnd"/>
      <w:r w:rsidRPr="00F50327">
        <w:rPr>
          <w:rFonts w:ascii="Arial" w:hAnsi="Arial" w:cs="Arial"/>
          <w:sz w:val="24"/>
          <w:szCs w:val="24"/>
        </w:rPr>
        <w:t xml:space="preserve"> politikasının ihtiyaçlarını gözden geçirmeye davet etmiştir. Komisyon </w:t>
      </w:r>
      <w:r w:rsidR="00AD735B" w:rsidRPr="00F50327">
        <w:rPr>
          <w:rFonts w:ascii="Arial" w:hAnsi="Arial" w:cs="Arial"/>
          <w:sz w:val="24"/>
          <w:szCs w:val="24"/>
        </w:rPr>
        <w:t xml:space="preserve">bu daveti kabul etmiş, var olan durumu analiz etmiş ve Avrupa standardizasyon sisteminin ve </w:t>
      </w:r>
      <w:proofErr w:type="gramStart"/>
      <w:r w:rsidR="00AD735B" w:rsidRPr="00F50327">
        <w:rPr>
          <w:rFonts w:ascii="Arial" w:hAnsi="Arial" w:cs="Arial"/>
          <w:sz w:val="24"/>
          <w:szCs w:val="24"/>
        </w:rPr>
        <w:t>enstrümanlarının</w:t>
      </w:r>
      <w:proofErr w:type="gramEnd"/>
      <w:r w:rsidR="00AD735B" w:rsidRPr="00F50327">
        <w:rPr>
          <w:rFonts w:ascii="Arial" w:hAnsi="Arial" w:cs="Arial"/>
          <w:sz w:val="24"/>
          <w:szCs w:val="24"/>
        </w:rPr>
        <w:t xml:space="preserve"> Avrupa standardizasyon politikaları için uygun olanlarının dana sonra geliştirilebilenlerini ve geliştirilmesi gereken temel alanlarını belirlemiştir. Bu analizin sonucunda iki doküman meydana çıkmıştır. İlki bu iletişimi içermekle birlikte standardizasyonun AB politikalarındaki desteğinin artan öneminin altını çizmektedir. </w:t>
      </w:r>
    </w:p>
    <w:p w:rsidR="00F50327" w:rsidRPr="00F50327" w:rsidRDefault="00F50327" w:rsidP="00F50327">
      <w:pPr>
        <w:shd w:val="clear" w:color="auto" w:fill="FFFFFF"/>
        <w:spacing w:line="360" w:lineRule="auto"/>
        <w:ind w:right="2"/>
        <w:jc w:val="both"/>
        <w:rPr>
          <w:rFonts w:ascii="Arial" w:hAnsi="Arial" w:cs="Arial"/>
          <w:sz w:val="24"/>
          <w:szCs w:val="24"/>
        </w:rPr>
      </w:pPr>
    </w:p>
    <w:p w:rsidR="00E112ED" w:rsidRDefault="00AD735B"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İkinci belge ise Komisyonun “Avrupa standardizasyonundaki güçlükler” </w:t>
      </w:r>
      <w:r w:rsidRPr="00F50327">
        <w:rPr>
          <w:rFonts w:ascii="Arial" w:hAnsi="Arial" w:cs="Arial"/>
          <w:sz w:val="24"/>
          <w:szCs w:val="24"/>
        </w:rPr>
        <w:lastRenderedPageBreak/>
        <w:t>üzerine bi</w:t>
      </w:r>
      <w:r w:rsidR="004C1F55" w:rsidRPr="00F50327">
        <w:rPr>
          <w:rFonts w:ascii="Arial" w:hAnsi="Arial" w:cs="Arial"/>
          <w:sz w:val="24"/>
          <w:szCs w:val="24"/>
        </w:rPr>
        <w:t xml:space="preserve">r personel çalışma </w:t>
      </w:r>
      <w:proofErr w:type="gramStart"/>
      <w:r w:rsidR="004C1F55" w:rsidRPr="00F50327">
        <w:rPr>
          <w:rFonts w:ascii="Arial" w:hAnsi="Arial" w:cs="Arial"/>
          <w:sz w:val="24"/>
          <w:szCs w:val="24"/>
        </w:rPr>
        <w:t>kağıdı</w:t>
      </w:r>
      <w:proofErr w:type="gramEnd"/>
      <w:r w:rsidR="004C1F55" w:rsidRPr="00F50327">
        <w:rPr>
          <w:rFonts w:ascii="Arial" w:hAnsi="Arial" w:cs="Arial"/>
          <w:sz w:val="24"/>
          <w:szCs w:val="24"/>
        </w:rPr>
        <w:t xml:space="preserve"> olup Avrupa standardizasyonunun yüzyüze kaldığı değişen ekonomi ile ilgili zorlukları analiz etme yöneliminde olup, </w:t>
      </w:r>
      <w:r w:rsidRPr="00F50327">
        <w:rPr>
          <w:rFonts w:ascii="Arial" w:hAnsi="Arial" w:cs="Arial"/>
          <w:sz w:val="24"/>
          <w:szCs w:val="24"/>
        </w:rPr>
        <w:t>bu zorlukların üstesinden nasıl en iyi biçimde gelineceği hakkında öneriler sağlama niyetindedir.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AD735B" w:rsidRDefault="00AD735B"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Bu gözden geçirme sisteminin özellikle 98/34</w:t>
      </w:r>
      <w:r w:rsidR="00D02A85" w:rsidRPr="00F50327">
        <w:rPr>
          <w:rStyle w:val="DipnotBavurusu"/>
          <w:rFonts w:ascii="Arial" w:hAnsi="Arial" w:cs="Arial"/>
          <w:b/>
          <w:bCs/>
          <w:color w:val="000000"/>
          <w:spacing w:val="5"/>
          <w:sz w:val="24"/>
          <w:szCs w:val="24"/>
        </w:rPr>
        <w:footnoteReference w:id="3"/>
      </w:r>
      <w:r w:rsidRPr="00F50327">
        <w:rPr>
          <w:rFonts w:ascii="Arial" w:hAnsi="Arial" w:cs="Arial"/>
          <w:sz w:val="24"/>
          <w:szCs w:val="24"/>
        </w:rPr>
        <w:t xml:space="preserve"> sayılı direktifle çerçevesi belirlenen Avrupa’daki var olan standardizasyon </w:t>
      </w:r>
      <w:r w:rsidR="00B305D3" w:rsidRPr="00F50327">
        <w:rPr>
          <w:rFonts w:ascii="Arial" w:hAnsi="Arial" w:cs="Arial"/>
          <w:sz w:val="24"/>
          <w:szCs w:val="24"/>
        </w:rPr>
        <w:t>sisteminin kendinden bekleneni verdiğini göstermiştir. Avrupa standardizasyonu ürünler için Tek Pazarın tamamlanmasında başarılı bir araç olduğunu kanıtlamıştır.</w:t>
      </w:r>
    </w:p>
    <w:p w:rsidR="00F50327" w:rsidRPr="00F50327" w:rsidRDefault="00F50327" w:rsidP="00F50327">
      <w:pPr>
        <w:shd w:val="clear" w:color="auto" w:fill="FFFFFF"/>
        <w:spacing w:line="360" w:lineRule="auto"/>
        <w:ind w:right="2"/>
        <w:jc w:val="both"/>
        <w:rPr>
          <w:rFonts w:ascii="Arial" w:hAnsi="Arial" w:cs="Arial"/>
          <w:sz w:val="24"/>
          <w:szCs w:val="24"/>
        </w:rPr>
      </w:pPr>
    </w:p>
    <w:p w:rsidR="00B305D3" w:rsidRDefault="00B305D3"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Yine de Avrupa standardizasyonundaki Avrupa Komisyonunun kendisi, Avrupa Standardizasyon Kurumları (ASK), Ulusal Standardizasyon Kurumları, yerel otoriteler, iş ve devlet dışı organizasyonlar gibi standardizasyondan faydası olan tüm paydaşları etkileyebilecek gelişmeler için de bir yer bırakmak gerekmektedir.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1F7324" w:rsidRDefault="001F7324"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Avrupa standardizasyonu Tek Pazar yasamasının yürütülmesine önemli bir katkı yapmıştır. 1998 yılından beri standartların destekleyici rol oynadığı aşağı yukarı 20 yeni yasama eylemi ve projesi geliştirilmiş ve yürürlüğe konmuştur. Bunlar ICT ile çevre ve tüketici koruması ile i</w:t>
      </w:r>
      <w:r w:rsidR="008231D7" w:rsidRPr="00F50327">
        <w:rPr>
          <w:rFonts w:ascii="Arial" w:hAnsi="Arial" w:cs="Arial"/>
          <w:sz w:val="24"/>
          <w:szCs w:val="24"/>
        </w:rPr>
        <w:t>lgilidir. Bu durum Yeni yaklaşım</w:t>
      </w:r>
      <w:r w:rsidRPr="00F50327">
        <w:rPr>
          <w:rFonts w:ascii="Arial" w:hAnsi="Arial" w:cs="Arial"/>
          <w:sz w:val="24"/>
          <w:szCs w:val="24"/>
        </w:rPr>
        <w:t xml:space="preserve"> ve onun ötesinde standartların yasamaya destek olarak kullanılması Avrupa yasamasında yeni alanlara daha da çok geliştirilebilir düşüncesine inanmak için neden vermektedir.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1F7324" w:rsidRDefault="001F7324"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Komisyon </w:t>
      </w:r>
      <w:r w:rsidR="000E6B83" w:rsidRPr="00F50327">
        <w:rPr>
          <w:rFonts w:ascii="Arial" w:hAnsi="Arial" w:cs="Arial"/>
          <w:sz w:val="24"/>
          <w:szCs w:val="24"/>
        </w:rPr>
        <w:t xml:space="preserve">daha iyi düzenleme </w:t>
      </w:r>
      <w:r w:rsidR="00F50327" w:rsidRPr="00F50327">
        <w:rPr>
          <w:rFonts w:ascii="Arial" w:hAnsi="Arial" w:cs="Arial"/>
          <w:sz w:val="24"/>
          <w:szCs w:val="24"/>
        </w:rPr>
        <w:t>taahhüdüyle</w:t>
      </w:r>
      <w:r w:rsidR="000E6B83" w:rsidRPr="00F50327">
        <w:rPr>
          <w:rFonts w:ascii="Arial" w:hAnsi="Arial" w:cs="Arial"/>
          <w:sz w:val="24"/>
          <w:szCs w:val="24"/>
        </w:rPr>
        <w:t xml:space="preserve"> uyumlu olarak standartların yasamayı desteklemesini daha fazla olarak kullanmayı arttırmaya devam edecektir. Avrupa standardizasyonu Avrupa girişimlerinin rekabetçiliğini artırmada önemli bir rol oynayabilir. Bu durum da gönüllü Avrupa standardizasyon sisteminin ürünler için olan tek pazarın ötesindeki iç pazarda uygun işlemesi için önemli olan tüm alanları geliştirilmesi üzerinde </w:t>
      </w:r>
      <w:r w:rsidR="000E6B83" w:rsidRPr="00F50327">
        <w:rPr>
          <w:rFonts w:ascii="Arial" w:hAnsi="Arial" w:cs="Arial"/>
          <w:sz w:val="24"/>
          <w:szCs w:val="24"/>
        </w:rPr>
        <w:lastRenderedPageBreak/>
        <w:t>durmaktadır. Ör: hizmetler, ICT, tüketici ve çevre koruması.</w:t>
      </w:r>
    </w:p>
    <w:p w:rsidR="00F50327" w:rsidRPr="00F50327" w:rsidRDefault="00F50327" w:rsidP="00F50327">
      <w:pPr>
        <w:shd w:val="clear" w:color="auto" w:fill="FFFFFF"/>
        <w:spacing w:line="360" w:lineRule="auto"/>
        <w:ind w:right="2"/>
        <w:jc w:val="both"/>
        <w:rPr>
          <w:rFonts w:ascii="Arial" w:hAnsi="Arial" w:cs="Arial"/>
          <w:sz w:val="24"/>
          <w:szCs w:val="24"/>
        </w:rPr>
      </w:pPr>
    </w:p>
    <w:p w:rsidR="000E6B83" w:rsidRDefault="000E6B83"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Bu bağlamda Avrupa standardizasyonu P</w:t>
      </w:r>
      <w:r w:rsidR="00A63544" w:rsidRPr="00F50327">
        <w:rPr>
          <w:rFonts w:ascii="Arial" w:hAnsi="Arial" w:cs="Arial"/>
          <w:sz w:val="24"/>
          <w:szCs w:val="24"/>
        </w:rPr>
        <w:t>azar ihtiyaçlarını tam olarak uy</w:t>
      </w:r>
      <w:r w:rsidRPr="00F50327">
        <w:rPr>
          <w:rFonts w:ascii="Arial" w:hAnsi="Arial" w:cs="Arial"/>
          <w:sz w:val="24"/>
          <w:szCs w:val="24"/>
        </w:rPr>
        <w:t>gunluk göstermelidir özellikle</w:t>
      </w:r>
      <w:r w:rsidR="00A63544" w:rsidRPr="00F50327">
        <w:rPr>
          <w:rFonts w:ascii="Arial" w:hAnsi="Arial" w:cs="Arial"/>
          <w:sz w:val="24"/>
          <w:szCs w:val="24"/>
        </w:rPr>
        <w:t xml:space="preserve"> </w:t>
      </w:r>
      <w:r w:rsidR="00F50327" w:rsidRPr="00F50327">
        <w:rPr>
          <w:rFonts w:ascii="Arial" w:hAnsi="Arial" w:cs="Arial"/>
          <w:sz w:val="24"/>
          <w:szCs w:val="24"/>
        </w:rPr>
        <w:t>de endüstride</w:t>
      </w:r>
      <w:r w:rsidRPr="00F50327">
        <w:rPr>
          <w:rFonts w:ascii="Arial" w:hAnsi="Arial" w:cs="Arial"/>
          <w:sz w:val="24"/>
          <w:szCs w:val="24"/>
        </w:rPr>
        <w:t xml:space="preserve"> olanlara. Komisyon </w:t>
      </w:r>
      <w:r w:rsidR="00A63544" w:rsidRPr="00F50327">
        <w:rPr>
          <w:rFonts w:ascii="Arial" w:hAnsi="Arial" w:cs="Arial"/>
          <w:sz w:val="24"/>
          <w:szCs w:val="24"/>
        </w:rPr>
        <w:t xml:space="preserve">standartların geliştirilme sürecindeki etkililik ve hız ile ilgili bazı eleştirilerin farkındadır, özellikle bu alanlardaki yeni teknolojiler ICT gibi hızlı değişen Pazar şartlarını karşılamak için hızlı standardizasyon geliştirilmesi önemli olduğu alanlarda. </w:t>
      </w:r>
      <w:proofErr w:type="gramStart"/>
      <w:r w:rsidR="00A63544" w:rsidRPr="00F50327">
        <w:rPr>
          <w:rFonts w:ascii="Arial" w:hAnsi="Arial" w:cs="Arial"/>
          <w:sz w:val="24"/>
          <w:szCs w:val="24"/>
        </w:rPr>
        <w:t>endüstriyel</w:t>
      </w:r>
      <w:proofErr w:type="gramEnd"/>
      <w:r w:rsidR="00A63544" w:rsidRPr="00F50327">
        <w:rPr>
          <w:rFonts w:ascii="Arial" w:hAnsi="Arial" w:cs="Arial"/>
          <w:sz w:val="24"/>
          <w:szCs w:val="24"/>
        </w:rPr>
        <w:t xml:space="preserve"> fora ve konsorsiyumlarca detaylandırılan maddeler özellikle uluslar arası düze</w:t>
      </w:r>
      <w:r w:rsidR="00F50327">
        <w:rPr>
          <w:rFonts w:ascii="Arial" w:hAnsi="Arial" w:cs="Arial"/>
          <w:sz w:val="24"/>
          <w:szCs w:val="24"/>
        </w:rPr>
        <w:t>y</w:t>
      </w:r>
      <w:r w:rsidR="00A63544" w:rsidRPr="00F50327">
        <w:rPr>
          <w:rFonts w:ascii="Arial" w:hAnsi="Arial" w:cs="Arial"/>
          <w:sz w:val="24"/>
          <w:szCs w:val="24"/>
        </w:rPr>
        <w:t>de artan bir role sahiptir.</w:t>
      </w:r>
    </w:p>
    <w:p w:rsidR="00F50327" w:rsidRPr="00F50327" w:rsidRDefault="00F50327" w:rsidP="00F50327">
      <w:pPr>
        <w:shd w:val="clear" w:color="auto" w:fill="FFFFFF"/>
        <w:spacing w:line="360" w:lineRule="auto"/>
        <w:ind w:right="2"/>
        <w:jc w:val="both"/>
        <w:rPr>
          <w:rFonts w:ascii="Arial" w:hAnsi="Arial" w:cs="Arial"/>
          <w:sz w:val="24"/>
          <w:szCs w:val="24"/>
        </w:rPr>
      </w:pPr>
    </w:p>
    <w:p w:rsidR="00D46286" w:rsidRDefault="00D46286"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Komisyon Avrupa standardizasyon sistemi ve mekanizmaları için verimliliğin ve etkililiğin geliştirilmesinde Pazar ihtiyaçlarının ve teşebbüslerin devamlı değişen konumları altındaki ihtiyaçlarının karşılanmasında aşırı bir potansiyel olduğunu varsaymaktadır. Avrupa standardizasyonunun bağımsız ve iş temelli olduğunu akılda tutmakta fayda vardır. Avrupa Standardizasyon Kurumları paydaşlarla birlikte </w:t>
      </w:r>
      <w:r w:rsidR="00F50327" w:rsidRPr="00F50327">
        <w:rPr>
          <w:rFonts w:ascii="Arial" w:hAnsi="Arial" w:cs="Arial"/>
          <w:sz w:val="24"/>
          <w:szCs w:val="24"/>
        </w:rPr>
        <w:t>var olan</w:t>
      </w:r>
      <w:r w:rsidR="00CD6786" w:rsidRPr="00F50327">
        <w:rPr>
          <w:rFonts w:ascii="Arial" w:hAnsi="Arial" w:cs="Arial"/>
          <w:sz w:val="24"/>
          <w:szCs w:val="24"/>
        </w:rPr>
        <w:t xml:space="preserve"> Pazar gereksinimlerine göre paydaşlarının ihtiyaçlarını daha iyi yanıtlayabilmek </w:t>
      </w:r>
      <w:r w:rsidR="00F50327" w:rsidRPr="00F50327">
        <w:rPr>
          <w:rFonts w:ascii="Arial" w:hAnsi="Arial" w:cs="Arial"/>
          <w:sz w:val="24"/>
          <w:szCs w:val="24"/>
        </w:rPr>
        <w:t>için çalışma</w:t>
      </w:r>
      <w:r w:rsidRPr="00F50327">
        <w:rPr>
          <w:rFonts w:ascii="Arial" w:hAnsi="Arial" w:cs="Arial"/>
          <w:sz w:val="24"/>
          <w:szCs w:val="24"/>
        </w:rPr>
        <w:t xml:space="preserve"> </w:t>
      </w:r>
      <w:r w:rsidR="00F50327" w:rsidRPr="00F50327">
        <w:rPr>
          <w:rFonts w:ascii="Arial" w:hAnsi="Arial" w:cs="Arial"/>
          <w:sz w:val="24"/>
          <w:szCs w:val="24"/>
        </w:rPr>
        <w:t>metotlarının</w:t>
      </w:r>
      <w:r w:rsidRPr="00F50327">
        <w:rPr>
          <w:rFonts w:ascii="Arial" w:hAnsi="Arial" w:cs="Arial"/>
          <w:sz w:val="24"/>
          <w:szCs w:val="24"/>
        </w:rPr>
        <w:t xml:space="preserve">, </w:t>
      </w:r>
      <w:proofErr w:type="gramStart"/>
      <w:r w:rsidRPr="00F50327">
        <w:rPr>
          <w:rFonts w:ascii="Arial" w:hAnsi="Arial" w:cs="Arial"/>
          <w:sz w:val="24"/>
          <w:szCs w:val="24"/>
        </w:rPr>
        <w:t>prosedürlerinin</w:t>
      </w:r>
      <w:proofErr w:type="gramEnd"/>
      <w:r w:rsidRPr="00F50327">
        <w:rPr>
          <w:rFonts w:ascii="Arial" w:hAnsi="Arial" w:cs="Arial"/>
          <w:sz w:val="24"/>
          <w:szCs w:val="24"/>
        </w:rPr>
        <w:t xml:space="preserve"> ve politikalarının </w:t>
      </w:r>
      <w:r w:rsidR="00CD6786" w:rsidRPr="00F50327">
        <w:rPr>
          <w:rFonts w:ascii="Arial" w:hAnsi="Arial" w:cs="Arial"/>
          <w:sz w:val="24"/>
          <w:szCs w:val="24"/>
        </w:rPr>
        <w:t xml:space="preserve">doğrulanması amaçlı bir araya getirilmiştir. </w:t>
      </w:r>
    </w:p>
    <w:p w:rsidR="00F50327" w:rsidRPr="00F50327" w:rsidRDefault="00F50327" w:rsidP="00F50327">
      <w:pPr>
        <w:shd w:val="clear" w:color="auto" w:fill="FFFFFF"/>
        <w:spacing w:line="360" w:lineRule="auto"/>
        <w:ind w:right="2"/>
        <w:jc w:val="both"/>
        <w:rPr>
          <w:rFonts w:ascii="Arial" w:hAnsi="Arial" w:cs="Arial"/>
          <w:sz w:val="24"/>
          <w:szCs w:val="24"/>
        </w:rPr>
      </w:pPr>
    </w:p>
    <w:p w:rsidR="00CD6786" w:rsidRDefault="00CD6786"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AB tarafından bir katkı olarak AB politikaları kapsamında standardizasyona değer katma amaçlı, enstitüsel çerçeve standardizasyonun rolünü etkin bir şekilde oynayabilmesi için gözden geçirilmelidir. Bu Avrupa standardizasyonunun finansmanına yasal bir dayanak yaratılması ve 98/34 sayılı Direktifin parçası </w:t>
      </w:r>
      <w:r w:rsidR="00F50327" w:rsidRPr="00F50327">
        <w:rPr>
          <w:rFonts w:ascii="Arial" w:hAnsi="Arial" w:cs="Arial"/>
          <w:sz w:val="24"/>
          <w:szCs w:val="24"/>
        </w:rPr>
        <w:t>olan standartların</w:t>
      </w:r>
      <w:r w:rsidRPr="00F50327">
        <w:rPr>
          <w:rFonts w:ascii="Arial" w:hAnsi="Arial" w:cs="Arial"/>
          <w:sz w:val="24"/>
          <w:szCs w:val="24"/>
        </w:rPr>
        <w:t xml:space="preserve"> standartlar ve teknik düzenlemeler alanında bilgi </w:t>
      </w:r>
      <w:proofErr w:type="gramStart"/>
      <w:r w:rsidRPr="00F50327">
        <w:rPr>
          <w:rFonts w:ascii="Arial" w:hAnsi="Arial" w:cs="Arial"/>
          <w:sz w:val="24"/>
          <w:szCs w:val="24"/>
        </w:rPr>
        <w:t>prosedürleri</w:t>
      </w:r>
      <w:proofErr w:type="gramEnd"/>
      <w:r w:rsidRPr="00F50327">
        <w:rPr>
          <w:rFonts w:ascii="Arial" w:hAnsi="Arial" w:cs="Arial"/>
          <w:sz w:val="24"/>
          <w:szCs w:val="24"/>
        </w:rPr>
        <w:t xml:space="preserve"> oluşturma anlamında düzeltilmesini içermektedir.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CD6786" w:rsidRDefault="00CD6786"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Komisyon Avrupa Standart</w:t>
      </w:r>
      <w:r w:rsidR="000511B3" w:rsidRPr="00F50327">
        <w:rPr>
          <w:rFonts w:ascii="Arial" w:hAnsi="Arial" w:cs="Arial"/>
          <w:sz w:val="24"/>
          <w:szCs w:val="24"/>
        </w:rPr>
        <w:t xml:space="preserve"> </w:t>
      </w:r>
      <w:r w:rsidRPr="00F50327">
        <w:rPr>
          <w:rFonts w:ascii="Arial" w:hAnsi="Arial" w:cs="Arial"/>
          <w:sz w:val="24"/>
          <w:szCs w:val="24"/>
        </w:rPr>
        <w:t xml:space="preserve">Kurumları ile işbirliği içerisinde, uygun uluslararası standart kurumları ile uluslararası standartların geliştirilmesini ve kullanımını teşvik etmeye ve katkıda bulunmaya devam edecektir. Uluslararası standartların olduğu yerlerde eğer mümkün olursa </w:t>
      </w:r>
      <w:r w:rsidR="000511B3" w:rsidRPr="00F50327">
        <w:rPr>
          <w:rFonts w:ascii="Arial" w:hAnsi="Arial" w:cs="Arial"/>
          <w:sz w:val="24"/>
          <w:szCs w:val="24"/>
        </w:rPr>
        <w:t xml:space="preserve">Avrupa Standart Kurumlarınca aynı tarzda aktarılmalı ve Topluluk yasamasında da </w:t>
      </w:r>
      <w:r w:rsidR="000511B3" w:rsidRPr="00F50327">
        <w:rPr>
          <w:rFonts w:ascii="Arial" w:hAnsi="Arial" w:cs="Arial"/>
          <w:sz w:val="24"/>
          <w:szCs w:val="24"/>
        </w:rPr>
        <w:lastRenderedPageBreak/>
        <w:t>temel olarak kullanılmalıdır.</w:t>
      </w:r>
    </w:p>
    <w:p w:rsidR="00F50327" w:rsidRPr="00F50327" w:rsidRDefault="00F50327" w:rsidP="00F50327">
      <w:pPr>
        <w:shd w:val="clear" w:color="auto" w:fill="FFFFFF"/>
        <w:spacing w:line="360" w:lineRule="auto"/>
        <w:ind w:right="2"/>
        <w:jc w:val="both"/>
        <w:rPr>
          <w:rFonts w:ascii="Arial" w:hAnsi="Arial" w:cs="Arial"/>
          <w:sz w:val="24"/>
          <w:szCs w:val="24"/>
        </w:rPr>
      </w:pPr>
    </w:p>
    <w:p w:rsidR="000511B3" w:rsidRPr="00F50327" w:rsidRDefault="000511B3"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Komisyon Avrupa standardizasyon sisteminin ve başarılarının Avrupa uyum modeli özellikle de AB’nin ge</w:t>
      </w:r>
      <w:r w:rsidR="00F50327">
        <w:rPr>
          <w:rFonts w:ascii="Arial" w:hAnsi="Arial" w:cs="Arial"/>
          <w:sz w:val="24"/>
          <w:szCs w:val="24"/>
        </w:rPr>
        <w:t>n</w:t>
      </w:r>
      <w:r w:rsidRPr="00F50327">
        <w:rPr>
          <w:rFonts w:ascii="Arial" w:hAnsi="Arial" w:cs="Arial"/>
          <w:sz w:val="24"/>
          <w:szCs w:val="24"/>
        </w:rPr>
        <w:t>işlemesinden sonra oluşan “yeni komşular” için faydalarını sunan bir bakışla AB dışında da daha çok görünür olabileceğine inanmaktadır. En son iletişimi olan “Avrupa komşuluk politikasında”</w:t>
      </w:r>
      <w:r w:rsidR="00D02A85" w:rsidRPr="00F50327">
        <w:rPr>
          <w:rStyle w:val="DipnotBavurusu"/>
          <w:rFonts w:ascii="Arial" w:hAnsi="Arial" w:cs="Arial"/>
          <w:color w:val="000000"/>
          <w:spacing w:val="1"/>
          <w:sz w:val="24"/>
          <w:szCs w:val="24"/>
        </w:rPr>
        <w:t xml:space="preserve"> </w:t>
      </w:r>
      <w:r w:rsidR="00D02A85" w:rsidRPr="00F50327">
        <w:rPr>
          <w:rStyle w:val="DipnotBavurusu"/>
          <w:rFonts w:ascii="Arial" w:hAnsi="Arial" w:cs="Arial"/>
          <w:color w:val="000000"/>
          <w:spacing w:val="1"/>
          <w:sz w:val="24"/>
          <w:szCs w:val="24"/>
        </w:rPr>
        <w:footnoteReference w:id="4"/>
      </w:r>
      <w:r w:rsidRPr="00F50327">
        <w:rPr>
          <w:rFonts w:ascii="Arial" w:hAnsi="Arial" w:cs="Arial"/>
          <w:sz w:val="24"/>
          <w:szCs w:val="24"/>
        </w:rPr>
        <w:t xml:space="preserve"> Komisyon uygunluk değerlendirmesinin ve bu bağlamda standardizasyonun öneminin açıkça altını çizmiştir. Ayrıca </w:t>
      </w:r>
      <w:r w:rsidR="00352EC6" w:rsidRPr="00F50327">
        <w:rPr>
          <w:rFonts w:ascii="Arial" w:hAnsi="Arial" w:cs="Arial"/>
          <w:sz w:val="24"/>
          <w:szCs w:val="24"/>
        </w:rPr>
        <w:t xml:space="preserve">Avrupa Standart Kurumları, bunların üyeleri, Komisyon ve Üye ülkeler arasındaki Avrupa standardizasyonunun Avrupa dışında da açık hale getirmek için artan işbirliği doğrultusunda daha çok </w:t>
      </w:r>
      <w:proofErr w:type="gramStart"/>
      <w:r w:rsidR="00352EC6" w:rsidRPr="00F50327">
        <w:rPr>
          <w:rFonts w:ascii="Arial" w:hAnsi="Arial" w:cs="Arial"/>
          <w:sz w:val="24"/>
          <w:szCs w:val="24"/>
        </w:rPr>
        <w:t>sinerji</w:t>
      </w:r>
      <w:proofErr w:type="gramEnd"/>
      <w:r w:rsidR="00352EC6" w:rsidRPr="00F50327">
        <w:rPr>
          <w:rFonts w:ascii="Arial" w:hAnsi="Arial" w:cs="Arial"/>
          <w:sz w:val="24"/>
          <w:szCs w:val="24"/>
        </w:rPr>
        <w:t xml:space="preserve"> yaratılmalıdır</w:t>
      </w:r>
      <w:r w:rsidR="00D02A85" w:rsidRPr="00F50327">
        <w:rPr>
          <w:rStyle w:val="DipnotBavurusu"/>
          <w:rFonts w:ascii="Arial" w:hAnsi="Arial" w:cs="Arial"/>
          <w:color w:val="000000"/>
          <w:spacing w:val="-1"/>
          <w:w w:val="97"/>
          <w:sz w:val="24"/>
          <w:szCs w:val="24"/>
        </w:rPr>
        <w:footnoteReference w:id="5"/>
      </w:r>
      <w:r w:rsidR="00352EC6" w:rsidRPr="00F50327">
        <w:rPr>
          <w:rFonts w:ascii="Arial" w:hAnsi="Arial" w:cs="Arial"/>
          <w:sz w:val="24"/>
          <w:szCs w:val="24"/>
        </w:rPr>
        <w:t>.</w:t>
      </w:r>
    </w:p>
    <w:p w:rsidR="000511B3" w:rsidRPr="00F50327" w:rsidRDefault="000511B3" w:rsidP="00F50327">
      <w:pPr>
        <w:shd w:val="clear" w:color="auto" w:fill="FFFFFF"/>
        <w:spacing w:line="360" w:lineRule="auto"/>
        <w:ind w:left="709" w:right="816"/>
        <w:jc w:val="both"/>
        <w:rPr>
          <w:rFonts w:ascii="Arial" w:hAnsi="Arial" w:cs="Arial"/>
          <w:sz w:val="24"/>
          <w:szCs w:val="24"/>
        </w:rPr>
      </w:pPr>
    </w:p>
    <w:p w:rsidR="00E112ED" w:rsidRPr="00F50327" w:rsidRDefault="00E112ED" w:rsidP="00F50327">
      <w:pPr>
        <w:shd w:val="clear" w:color="auto" w:fill="FFFFFF"/>
        <w:spacing w:line="360" w:lineRule="auto"/>
        <w:ind w:right="2"/>
        <w:jc w:val="both"/>
        <w:rPr>
          <w:rFonts w:ascii="Arial" w:hAnsi="Arial" w:cs="Arial"/>
          <w:sz w:val="24"/>
          <w:szCs w:val="24"/>
        </w:rPr>
        <w:sectPr w:rsidR="00E112ED" w:rsidRPr="00F50327" w:rsidSect="00F50327">
          <w:pgSz w:w="11909" w:h="16834" w:code="9"/>
          <w:pgMar w:top="2268" w:right="1418" w:bottom="1418" w:left="2268" w:header="709" w:footer="709" w:gutter="0"/>
          <w:cols w:space="60"/>
          <w:noEndnote/>
        </w:sectPr>
      </w:pPr>
    </w:p>
    <w:p w:rsidR="00403E78" w:rsidRDefault="00403E78" w:rsidP="00F50327">
      <w:pPr>
        <w:shd w:val="clear" w:color="auto" w:fill="FFFFFF"/>
        <w:spacing w:line="360" w:lineRule="auto"/>
        <w:ind w:right="2"/>
        <w:jc w:val="both"/>
        <w:rPr>
          <w:rFonts w:ascii="Arial" w:hAnsi="Arial" w:cs="Arial"/>
          <w:b/>
          <w:sz w:val="24"/>
          <w:szCs w:val="24"/>
        </w:rPr>
      </w:pPr>
      <w:r w:rsidRPr="00F50327">
        <w:rPr>
          <w:rFonts w:ascii="Arial" w:hAnsi="Arial" w:cs="Arial"/>
          <w:b/>
          <w:sz w:val="24"/>
          <w:szCs w:val="24"/>
        </w:rPr>
        <w:lastRenderedPageBreak/>
        <w:t>2. YE</w:t>
      </w:r>
      <w:r w:rsidR="006F6D24" w:rsidRPr="00F50327">
        <w:rPr>
          <w:rFonts w:ascii="Arial" w:hAnsi="Arial" w:cs="Arial"/>
          <w:b/>
          <w:sz w:val="24"/>
          <w:szCs w:val="24"/>
        </w:rPr>
        <w:t>Nİ STANDARTLAR YENİLİKÇİ</w:t>
      </w:r>
      <w:r w:rsidRPr="00F50327">
        <w:rPr>
          <w:rFonts w:ascii="Arial" w:hAnsi="Arial" w:cs="Arial"/>
          <w:b/>
          <w:sz w:val="24"/>
          <w:szCs w:val="24"/>
        </w:rPr>
        <w:t xml:space="preserve"> POLİTİKA ALANLARI</w:t>
      </w:r>
    </w:p>
    <w:p w:rsidR="00F50327" w:rsidRPr="00F50327" w:rsidRDefault="00F50327" w:rsidP="00F50327">
      <w:pPr>
        <w:shd w:val="clear" w:color="auto" w:fill="FFFFFF"/>
        <w:spacing w:line="360" w:lineRule="auto"/>
        <w:ind w:right="2"/>
        <w:jc w:val="both"/>
        <w:rPr>
          <w:rFonts w:ascii="Arial" w:hAnsi="Arial" w:cs="Arial"/>
          <w:b/>
          <w:sz w:val="24"/>
          <w:szCs w:val="24"/>
        </w:rPr>
      </w:pPr>
    </w:p>
    <w:p w:rsidR="00403E78" w:rsidRDefault="00403E78" w:rsidP="00F50327">
      <w:pPr>
        <w:shd w:val="clear" w:color="auto" w:fill="FFFFFF"/>
        <w:spacing w:line="360" w:lineRule="auto"/>
        <w:ind w:right="2"/>
        <w:jc w:val="both"/>
        <w:rPr>
          <w:rFonts w:ascii="Arial" w:hAnsi="Arial" w:cs="Arial"/>
          <w:b/>
          <w:sz w:val="24"/>
          <w:szCs w:val="24"/>
        </w:rPr>
      </w:pPr>
      <w:r w:rsidRPr="00F50327">
        <w:rPr>
          <w:rFonts w:ascii="Arial" w:hAnsi="Arial" w:cs="Arial"/>
          <w:b/>
          <w:sz w:val="24"/>
          <w:szCs w:val="24"/>
        </w:rPr>
        <w:t>2.1 Yeni yasama ve yeni yasamaya ilişkin girişimler</w:t>
      </w:r>
    </w:p>
    <w:p w:rsidR="00F50327" w:rsidRPr="00F50327" w:rsidRDefault="00F50327" w:rsidP="00F50327">
      <w:pPr>
        <w:shd w:val="clear" w:color="auto" w:fill="FFFFFF"/>
        <w:spacing w:line="360" w:lineRule="auto"/>
        <w:ind w:right="2"/>
        <w:jc w:val="both"/>
        <w:rPr>
          <w:rFonts w:ascii="Arial" w:hAnsi="Arial" w:cs="Arial"/>
          <w:b/>
          <w:sz w:val="24"/>
          <w:szCs w:val="24"/>
        </w:rPr>
      </w:pPr>
    </w:p>
    <w:p w:rsidR="00403E78" w:rsidRDefault="00403E78"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Yeni Yaklaşım yasaması desteğinde Avrupa standardizasyonu, ününler için Tek Pazarın tamamlanmasında başarılı ve gerekli bir araç olduğunu kanıtlamıştır. 1 Mart 2002 yılındaki Avrupa standardizasyonu ile ilgili Sonucunda Konsey bu başarıyı teyit etmiştir. </w:t>
      </w:r>
      <w:r w:rsidR="00A569C9" w:rsidRPr="00F50327">
        <w:rPr>
          <w:rFonts w:ascii="Arial" w:hAnsi="Arial" w:cs="Arial"/>
          <w:sz w:val="24"/>
          <w:szCs w:val="24"/>
        </w:rPr>
        <w:t>Komisyon</w:t>
      </w:r>
      <w:r w:rsidR="00526FB4" w:rsidRPr="00F50327">
        <w:rPr>
          <w:rFonts w:ascii="Arial" w:hAnsi="Arial" w:cs="Arial"/>
          <w:sz w:val="24"/>
          <w:szCs w:val="24"/>
        </w:rPr>
        <w:t>dan</w:t>
      </w:r>
      <w:r w:rsidR="00A569C9" w:rsidRPr="00F50327">
        <w:rPr>
          <w:rFonts w:ascii="Arial" w:hAnsi="Arial" w:cs="Arial"/>
          <w:sz w:val="24"/>
          <w:szCs w:val="24"/>
        </w:rPr>
        <w:t xml:space="preserve"> Avrupa yasaması için Avrupa standartlarına verilen desteğin </w:t>
      </w:r>
      <w:r w:rsidR="00526FB4" w:rsidRPr="00F50327">
        <w:rPr>
          <w:rFonts w:ascii="Arial" w:hAnsi="Arial" w:cs="Arial"/>
          <w:sz w:val="24"/>
          <w:szCs w:val="24"/>
        </w:rPr>
        <w:t>Tek Pazar yasamasının ötesinde yeni politika alanlarına genişletilebilmesinin incelenmesini istemiştir.</w:t>
      </w:r>
    </w:p>
    <w:p w:rsidR="00F50327" w:rsidRPr="00F50327" w:rsidRDefault="00F50327" w:rsidP="00F50327">
      <w:pPr>
        <w:shd w:val="clear" w:color="auto" w:fill="FFFFFF"/>
        <w:spacing w:line="360" w:lineRule="auto"/>
        <w:ind w:right="2"/>
        <w:jc w:val="both"/>
        <w:rPr>
          <w:rFonts w:ascii="Arial" w:hAnsi="Arial" w:cs="Arial"/>
          <w:sz w:val="24"/>
          <w:szCs w:val="24"/>
        </w:rPr>
      </w:pPr>
    </w:p>
    <w:p w:rsidR="00774B28" w:rsidRDefault="00774B28"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Bu bağlamda “Yeni yaklaşımın” hem kamu faydasına yönelik ( ör: kamu sağlığının ve güvenliğinin korunması, tüketici ve çevre korunması) hem de özel ticaretin uygun teknolojik gelişmeler ışığında standartlar üretebilmesi için ve uygun bir yolla birleştirilebilmesi için yasamanın özel bir modeli olduğunu kanıtlamıştır. Bu durum her bir detayın yasama eyleminin kendisi tarafından karar verildiği alanlarda daha esnek ve daha az katı yasama biçimlerine izin vermektedir.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774B28" w:rsidRDefault="00774B28"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“Konseye ve Avrupa </w:t>
      </w:r>
      <w:r w:rsidR="00F50327" w:rsidRPr="00F50327">
        <w:rPr>
          <w:rFonts w:ascii="Arial" w:hAnsi="Arial" w:cs="Arial"/>
          <w:sz w:val="24"/>
          <w:szCs w:val="24"/>
        </w:rPr>
        <w:t>Parlamentosuna</w:t>
      </w:r>
      <w:r w:rsidRPr="00F50327">
        <w:rPr>
          <w:rFonts w:ascii="Arial" w:hAnsi="Arial" w:cs="Arial"/>
          <w:sz w:val="24"/>
          <w:szCs w:val="24"/>
        </w:rPr>
        <w:t xml:space="preserve"> 1999 yılında Konsey ve Avrupa</w:t>
      </w:r>
      <w:r w:rsidR="00CD4E0D" w:rsidRPr="00F50327">
        <w:rPr>
          <w:rFonts w:ascii="Arial" w:hAnsi="Arial" w:cs="Arial"/>
          <w:sz w:val="24"/>
          <w:szCs w:val="24"/>
        </w:rPr>
        <w:t xml:space="preserve"> </w:t>
      </w:r>
      <w:r w:rsidR="00F50327" w:rsidRPr="00F50327">
        <w:rPr>
          <w:rFonts w:ascii="Arial" w:hAnsi="Arial" w:cs="Arial"/>
          <w:sz w:val="24"/>
          <w:szCs w:val="24"/>
        </w:rPr>
        <w:t>Parlamentosu</w:t>
      </w:r>
      <w:r w:rsidR="008231D7" w:rsidRPr="00F50327">
        <w:rPr>
          <w:rFonts w:ascii="Arial" w:hAnsi="Arial" w:cs="Arial"/>
          <w:sz w:val="24"/>
          <w:szCs w:val="24"/>
        </w:rPr>
        <w:t xml:space="preserve"> tarafı</w:t>
      </w:r>
      <w:r w:rsidRPr="00F50327">
        <w:rPr>
          <w:rFonts w:ascii="Arial" w:hAnsi="Arial" w:cs="Arial"/>
          <w:sz w:val="24"/>
          <w:szCs w:val="24"/>
        </w:rPr>
        <w:t xml:space="preserve">ndan adapte edilen Avrupa Standartlarıyla ilgili Karara yönelik alınan eylemlerle ilgili Ara Rapor”da da olduğu gibi Komisyon </w:t>
      </w:r>
      <w:r w:rsidR="00C43A1F" w:rsidRPr="00F50327">
        <w:rPr>
          <w:rFonts w:ascii="Arial" w:hAnsi="Arial" w:cs="Arial"/>
          <w:sz w:val="24"/>
          <w:szCs w:val="24"/>
        </w:rPr>
        <w:t>yasamaları</w:t>
      </w:r>
      <w:r w:rsidR="00D43826" w:rsidRPr="00F50327">
        <w:rPr>
          <w:rFonts w:ascii="Arial" w:hAnsi="Arial" w:cs="Arial"/>
          <w:sz w:val="24"/>
          <w:szCs w:val="24"/>
        </w:rPr>
        <w:t xml:space="preserve"> ve politikaları destekleyen sta</w:t>
      </w:r>
      <w:r w:rsidR="00C43A1F" w:rsidRPr="00F50327">
        <w:rPr>
          <w:rFonts w:ascii="Arial" w:hAnsi="Arial" w:cs="Arial"/>
          <w:sz w:val="24"/>
          <w:szCs w:val="24"/>
        </w:rPr>
        <w:t>ndartların kullanımını genişletmek için yaptığı çalışmaları raporlamaktadır</w:t>
      </w:r>
      <w:r w:rsidR="00747599" w:rsidRPr="00F50327">
        <w:rPr>
          <w:rStyle w:val="DipnotBavurusu"/>
          <w:rFonts w:ascii="Arial" w:hAnsi="Arial" w:cs="Arial"/>
          <w:color w:val="000000"/>
          <w:spacing w:val="2"/>
          <w:w w:val="97"/>
          <w:sz w:val="24"/>
          <w:szCs w:val="24"/>
        </w:rPr>
        <w:footnoteReference w:id="6"/>
      </w:r>
      <w:r w:rsidR="00C43A1F" w:rsidRPr="00F50327">
        <w:rPr>
          <w:rFonts w:ascii="Arial" w:hAnsi="Arial" w:cs="Arial"/>
          <w:sz w:val="24"/>
          <w:szCs w:val="24"/>
        </w:rPr>
        <w:t>. Konseyin Mart 2002 ta</w:t>
      </w:r>
      <w:r w:rsidR="00D43826" w:rsidRPr="00F50327">
        <w:rPr>
          <w:rFonts w:ascii="Arial" w:hAnsi="Arial" w:cs="Arial"/>
          <w:sz w:val="24"/>
          <w:szCs w:val="24"/>
        </w:rPr>
        <w:t>rihinde bu yaklaşımla devam etmesi</w:t>
      </w:r>
      <w:r w:rsidR="00C43A1F" w:rsidRPr="00F50327">
        <w:rPr>
          <w:rFonts w:ascii="Arial" w:hAnsi="Arial" w:cs="Arial"/>
          <w:sz w:val="24"/>
          <w:szCs w:val="24"/>
        </w:rPr>
        <w:t xml:space="preserve"> talebinde</w:t>
      </w:r>
      <w:r w:rsidR="00D43826" w:rsidRPr="00F50327">
        <w:rPr>
          <w:rFonts w:ascii="Arial" w:hAnsi="Arial" w:cs="Arial"/>
          <w:sz w:val="24"/>
          <w:szCs w:val="24"/>
        </w:rPr>
        <w:t>n beri</w:t>
      </w:r>
      <w:r w:rsidR="00C43A1F" w:rsidRPr="00F50327">
        <w:rPr>
          <w:rFonts w:ascii="Arial" w:hAnsi="Arial" w:cs="Arial"/>
          <w:sz w:val="24"/>
          <w:szCs w:val="24"/>
        </w:rPr>
        <w:t xml:space="preserve"> ve </w:t>
      </w:r>
      <w:r w:rsidR="00D43826" w:rsidRPr="00F50327">
        <w:rPr>
          <w:rFonts w:ascii="Arial" w:hAnsi="Arial" w:cs="Arial"/>
          <w:sz w:val="24"/>
          <w:szCs w:val="24"/>
        </w:rPr>
        <w:t>bu bağlamda hem genişle</w:t>
      </w:r>
      <w:r w:rsidR="00747599" w:rsidRPr="00F50327">
        <w:rPr>
          <w:rFonts w:ascii="Arial" w:hAnsi="Arial" w:cs="Arial"/>
          <w:sz w:val="24"/>
          <w:szCs w:val="24"/>
        </w:rPr>
        <w:t>yen Avrupa Birliği ile ilgili “</w:t>
      </w:r>
      <w:r w:rsidR="00F50327" w:rsidRPr="00F50327">
        <w:rPr>
          <w:rFonts w:ascii="Arial" w:hAnsi="Arial" w:cs="Arial"/>
          <w:sz w:val="24"/>
          <w:szCs w:val="24"/>
        </w:rPr>
        <w:t>müktesebatın</w:t>
      </w:r>
      <w:r w:rsidR="00747599" w:rsidRPr="00F50327">
        <w:rPr>
          <w:rFonts w:ascii="Arial" w:hAnsi="Arial" w:cs="Arial"/>
          <w:sz w:val="24"/>
          <w:szCs w:val="24"/>
        </w:rPr>
        <w:t>”</w:t>
      </w:r>
      <w:r w:rsidR="00747599" w:rsidRPr="00F50327">
        <w:rPr>
          <w:rStyle w:val="DipnotBavurusu"/>
          <w:rFonts w:ascii="Arial" w:hAnsi="Arial" w:cs="Arial"/>
          <w:color w:val="000000"/>
          <w:spacing w:val="2"/>
          <w:w w:val="97"/>
          <w:sz w:val="24"/>
          <w:szCs w:val="24"/>
        </w:rPr>
        <w:footnoteReference w:id="7"/>
      </w:r>
      <w:r w:rsidR="00D43826" w:rsidRPr="00F50327">
        <w:rPr>
          <w:rFonts w:ascii="Arial" w:hAnsi="Arial" w:cs="Arial"/>
          <w:sz w:val="24"/>
          <w:szCs w:val="24"/>
        </w:rPr>
        <w:t xml:space="preserve"> sadeleştirmesi </w:t>
      </w:r>
      <w:r w:rsidR="00F50327" w:rsidRPr="00F50327">
        <w:rPr>
          <w:rFonts w:ascii="Arial" w:hAnsi="Arial" w:cs="Arial"/>
          <w:sz w:val="24"/>
          <w:szCs w:val="24"/>
        </w:rPr>
        <w:t>ihtiyacı</w:t>
      </w:r>
      <w:r w:rsidR="00D43826" w:rsidRPr="00F50327">
        <w:rPr>
          <w:rFonts w:ascii="Arial" w:hAnsi="Arial" w:cs="Arial"/>
          <w:sz w:val="24"/>
          <w:szCs w:val="24"/>
        </w:rPr>
        <w:t xml:space="preserve"> hem de AB yasasının</w:t>
      </w:r>
      <w:r w:rsidR="00F50327">
        <w:rPr>
          <w:rFonts w:ascii="Arial" w:hAnsi="Arial" w:cs="Arial"/>
          <w:sz w:val="24"/>
          <w:szCs w:val="24"/>
        </w:rPr>
        <w:t xml:space="preserve"> </w:t>
      </w:r>
      <w:r w:rsidR="00D43826" w:rsidRPr="00F50327">
        <w:rPr>
          <w:rFonts w:ascii="Arial" w:hAnsi="Arial" w:cs="Arial"/>
          <w:sz w:val="24"/>
          <w:szCs w:val="24"/>
        </w:rPr>
        <w:t xml:space="preserve">basitleştirilmesi ile güncellenmesi </w:t>
      </w:r>
      <w:r w:rsidR="00F50327" w:rsidRPr="00F50327">
        <w:rPr>
          <w:rFonts w:ascii="Arial" w:hAnsi="Arial" w:cs="Arial"/>
          <w:sz w:val="24"/>
          <w:szCs w:val="24"/>
        </w:rPr>
        <w:t>teklif edilen</w:t>
      </w:r>
      <w:r w:rsidR="00D43826" w:rsidRPr="00F50327">
        <w:rPr>
          <w:rFonts w:ascii="Arial" w:hAnsi="Arial" w:cs="Arial"/>
          <w:sz w:val="24"/>
          <w:szCs w:val="24"/>
        </w:rPr>
        <w:t xml:space="preserve"> eylemlerle </w:t>
      </w:r>
      <w:r w:rsidR="00F50327" w:rsidRPr="00F50327">
        <w:rPr>
          <w:rFonts w:ascii="Arial" w:hAnsi="Arial" w:cs="Arial"/>
          <w:sz w:val="24"/>
          <w:szCs w:val="24"/>
        </w:rPr>
        <w:t>ilerlemeler Topluluğun</w:t>
      </w:r>
      <w:r w:rsidR="00D43826" w:rsidRPr="00F50327">
        <w:rPr>
          <w:rFonts w:ascii="Arial" w:hAnsi="Arial" w:cs="Arial"/>
          <w:sz w:val="24"/>
          <w:szCs w:val="24"/>
        </w:rPr>
        <w:t xml:space="preserve"> yasama ve politikalarında büyük ölçekli ve çeşitli teşebbüsle yapılmıştır. Bu alanlar Komisyonun ‘daha iyi düzenleme politikası”, ICT, hizmetler, ulaştırma, tüke</w:t>
      </w:r>
      <w:r w:rsidR="008231D7" w:rsidRPr="00F50327">
        <w:rPr>
          <w:rFonts w:ascii="Arial" w:hAnsi="Arial" w:cs="Arial"/>
          <w:sz w:val="24"/>
          <w:szCs w:val="24"/>
        </w:rPr>
        <w:t>tici ve çevre koruma ile aynı ç</w:t>
      </w:r>
      <w:r w:rsidR="00D43826" w:rsidRPr="00F50327">
        <w:rPr>
          <w:rFonts w:ascii="Arial" w:hAnsi="Arial" w:cs="Arial"/>
          <w:sz w:val="24"/>
          <w:szCs w:val="24"/>
        </w:rPr>
        <w:t>izgidedir.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D43826" w:rsidRPr="00F50327" w:rsidRDefault="00D43826"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Bu nedenle, Topluluk yasama alanında, Tek pazarın ötesinde standartların kullanımının geliştirilmesinin sağlanması ilgili alanları göz önünde bulundurarak ve </w:t>
      </w:r>
      <w:r w:rsidRPr="00F50327">
        <w:rPr>
          <w:rFonts w:ascii="Arial" w:hAnsi="Arial" w:cs="Arial"/>
          <w:sz w:val="24"/>
          <w:szCs w:val="24"/>
        </w:rPr>
        <w:lastRenderedPageBreak/>
        <w:t>Komisyonun yönetişim ve iyi yönetim teklifleri ile birlikte oldukça istenir olmuştur</w:t>
      </w:r>
      <w:r w:rsidR="00747599" w:rsidRPr="00F50327">
        <w:rPr>
          <w:rStyle w:val="DipnotBavurusu"/>
          <w:rFonts w:ascii="Arial" w:hAnsi="Arial" w:cs="Arial"/>
          <w:b/>
          <w:bCs/>
          <w:color w:val="000000"/>
          <w:spacing w:val="2"/>
          <w:w w:val="97"/>
          <w:sz w:val="24"/>
          <w:szCs w:val="24"/>
        </w:rPr>
        <w:footnoteReference w:id="8"/>
      </w:r>
      <w:r w:rsidRPr="00F50327">
        <w:rPr>
          <w:rFonts w:ascii="Arial" w:hAnsi="Arial" w:cs="Arial"/>
          <w:sz w:val="24"/>
          <w:szCs w:val="24"/>
        </w:rPr>
        <w:t xml:space="preserve">. </w:t>
      </w:r>
    </w:p>
    <w:p w:rsidR="00F50327" w:rsidRDefault="00F50327" w:rsidP="00F50327">
      <w:pPr>
        <w:shd w:val="clear" w:color="auto" w:fill="FFFFFF"/>
        <w:spacing w:line="360" w:lineRule="auto"/>
        <w:ind w:right="2"/>
        <w:jc w:val="both"/>
        <w:rPr>
          <w:rFonts w:ascii="Arial" w:hAnsi="Arial" w:cs="Arial"/>
          <w:b/>
          <w:sz w:val="24"/>
          <w:szCs w:val="24"/>
        </w:rPr>
      </w:pPr>
    </w:p>
    <w:p w:rsidR="00D43826" w:rsidRDefault="00D43826" w:rsidP="00F50327">
      <w:pPr>
        <w:shd w:val="clear" w:color="auto" w:fill="FFFFFF"/>
        <w:spacing w:line="360" w:lineRule="auto"/>
        <w:ind w:right="2"/>
        <w:jc w:val="both"/>
        <w:rPr>
          <w:rFonts w:ascii="Arial" w:hAnsi="Arial" w:cs="Arial"/>
          <w:b/>
          <w:sz w:val="24"/>
          <w:szCs w:val="24"/>
        </w:rPr>
      </w:pPr>
      <w:r w:rsidRPr="00F50327">
        <w:rPr>
          <w:rFonts w:ascii="Arial" w:hAnsi="Arial" w:cs="Arial"/>
          <w:b/>
          <w:sz w:val="24"/>
          <w:szCs w:val="24"/>
        </w:rPr>
        <w:t>2.2 Endüstrideki rekabetçiliğin desteklenmesinde Standardizasyon</w:t>
      </w:r>
    </w:p>
    <w:p w:rsidR="00F50327" w:rsidRPr="00F50327" w:rsidRDefault="00F50327" w:rsidP="00F50327">
      <w:pPr>
        <w:shd w:val="clear" w:color="auto" w:fill="FFFFFF"/>
        <w:spacing w:line="360" w:lineRule="auto"/>
        <w:ind w:right="2"/>
        <w:jc w:val="both"/>
        <w:rPr>
          <w:rFonts w:ascii="Arial" w:hAnsi="Arial" w:cs="Arial"/>
          <w:b/>
          <w:sz w:val="24"/>
          <w:szCs w:val="24"/>
        </w:rPr>
      </w:pPr>
    </w:p>
    <w:p w:rsidR="00D43826" w:rsidRDefault="008818FE"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Avrupa standardizasyonundan elde edilen faydalar Avrupa yasamasının desteklenmesinden ileriye gitmiştir. </w:t>
      </w:r>
      <w:r w:rsidR="00F50327" w:rsidRPr="00F50327">
        <w:rPr>
          <w:rFonts w:ascii="Arial" w:hAnsi="Arial" w:cs="Arial"/>
          <w:sz w:val="24"/>
          <w:szCs w:val="24"/>
        </w:rPr>
        <w:t>Gönüllü</w:t>
      </w:r>
      <w:r w:rsidRPr="00F50327">
        <w:rPr>
          <w:rFonts w:ascii="Arial" w:hAnsi="Arial" w:cs="Arial"/>
          <w:sz w:val="24"/>
          <w:szCs w:val="24"/>
        </w:rPr>
        <w:t xml:space="preserve"> standartların paydaşlar</w:t>
      </w:r>
      <w:r w:rsidR="00F50327">
        <w:rPr>
          <w:rFonts w:ascii="Arial" w:hAnsi="Arial" w:cs="Arial"/>
          <w:sz w:val="24"/>
          <w:szCs w:val="24"/>
        </w:rPr>
        <w:t xml:space="preserve"> </w:t>
      </w:r>
      <w:r w:rsidRPr="00F50327">
        <w:rPr>
          <w:rFonts w:ascii="Arial" w:hAnsi="Arial" w:cs="Arial"/>
          <w:sz w:val="24"/>
          <w:szCs w:val="24"/>
        </w:rPr>
        <w:t xml:space="preserve">tarafından geliştirilmesi rekabetin </w:t>
      </w:r>
      <w:r w:rsidR="00F50327" w:rsidRPr="00F50327">
        <w:rPr>
          <w:rFonts w:ascii="Arial" w:hAnsi="Arial" w:cs="Arial"/>
          <w:sz w:val="24"/>
          <w:szCs w:val="24"/>
        </w:rPr>
        <w:t>arttırılmasında</w:t>
      </w:r>
      <w:r w:rsidRPr="00F50327">
        <w:rPr>
          <w:rFonts w:ascii="Arial" w:hAnsi="Arial" w:cs="Arial"/>
          <w:sz w:val="24"/>
          <w:szCs w:val="24"/>
        </w:rPr>
        <w:t xml:space="preserve"> katma değer sağlayabilmektedir</w:t>
      </w:r>
      <w:r w:rsidR="00747599" w:rsidRPr="00F50327">
        <w:rPr>
          <w:rStyle w:val="DipnotBavurusu"/>
          <w:rFonts w:ascii="Arial" w:hAnsi="Arial" w:cs="Arial"/>
          <w:color w:val="000000"/>
          <w:spacing w:val="1"/>
          <w:sz w:val="24"/>
          <w:szCs w:val="24"/>
        </w:rPr>
        <w:footnoteReference w:id="9"/>
      </w:r>
      <w:r w:rsidR="00747599" w:rsidRPr="00F50327">
        <w:rPr>
          <w:rFonts w:ascii="Arial" w:hAnsi="Arial" w:cs="Arial"/>
          <w:color w:val="000000"/>
          <w:spacing w:val="1"/>
          <w:sz w:val="24"/>
          <w:szCs w:val="24"/>
          <w:vertAlign w:val="superscript"/>
        </w:rPr>
        <w:t>10</w:t>
      </w:r>
      <w:r w:rsidRPr="00F50327">
        <w:rPr>
          <w:rFonts w:ascii="Arial" w:hAnsi="Arial" w:cs="Arial"/>
          <w:sz w:val="24"/>
          <w:szCs w:val="24"/>
        </w:rPr>
        <w:t>. Eski zamanlardan beri standartlar Pazar sisteminin ayrılmaz parçası olmuş ve ülkelerin varlıklarındaki ilerlemede anahtar rol oynamıştır.</w:t>
      </w:r>
    </w:p>
    <w:p w:rsidR="00F50327" w:rsidRPr="00F50327" w:rsidRDefault="00F50327" w:rsidP="00F50327">
      <w:pPr>
        <w:shd w:val="clear" w:color="auto" w:fill="FFFFFF"/>
        <w:spacing w:line="360" w:lineRule="auto"/>
        <w:ind w:right="2"/>
        <w:jc w:val="both"/>
        <w:rPr>
          <w:rFonts w:ascii="Arial" w:hAnsi="Arial" w:cs="Arial"/>
          <w:sz w:val="24"/>
          <w:szCs w:val="24"/>
        </w:rPr>
      </w:pPr>
    </w:p>
    <w:p w:rsidR="008818FE" w:rsidRDefault="008818FE"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Standartlar rekabeti arttırma eğilimindedirler ve alt seviyede çıktılar ve satış maliyetleri sağlayarak ekonominin bütününe fayda sağlarlar. Standartlar çeşitliliği azaltarak, </w:t>
      </w:r>
      <w:r w:rsidR="00F50327" w:rsidRPr="00F50327">
        <w:rPr>
          <w:rFonts w:ascii="Arial" w:hAnsi="Arial" w:cs="Arial"/>
          <w:sz w:val="24"/>
          <w:szCs w:val="24"/>
        </w:rPr>
        <w:t>birlikte işlerliği</w:t>
      </w:r>
      <w:r w:rsidRPr="00F50327">
        <w:rPr>
          <w:rFonts w:ascii="Arial" w:hAnsi="Arial" w:cs="Arial"/>
          <w:sz w:val="24"/>
          <w:szCs w:val="24"/>
        </w:rPr>
        <w:t xml:space="preserve"> temin ederek, kaliteyi sürdürerek ve bilgi sağlayarak işlev görürler. Büyük standart kurumlarından birinin yaptığı en son çalışmada Avrupa standardizasyonunun gayri safi milli hasılanın değerini aşağı yukarı  % 1 oranında arttırdığı belirtilmiştir</w:t>
      </w:r>
      <w:r w:rsidR="00747599" w:rsidRPr="00F50327">
        <w:rPr>
          <w:rStyle w:val="DipnotBavurusu"/>
          <w:rFonts w:ascii="Arial" w:hAnsi="Arial" w:cs="Arial"/>
          <w:color w:val="000000"/>
          <w:spacing w:val="1"/>
          <w:sz w:val="24"/>
          <w:szCs w:val="24"/>
        </w:rPr>
        <w:footnoteReference w:id="10"/>
      </w:r>
      <w:r w:rsidR="00747599" w:rsidRPr="00F50327">
        <w:rPr>
          <w:rFonts w:ascii="Arial" w:hAnsi="Arial" w:cs="Arial"/>
          <w:color w:val="000000"/>
          <w:spacing w:val="1"/>
          <w:sz w:val="24"/>
          <w:szCs w:val="24"/>
          <w:vertAlign w:val="superscript"/>
        </w:rPr>
        <w:t>11</w:t>
      </w:r>
      <w:r w:rsidRPr="00F50327">
        <w:rPr>
          <w:rFonts w:ascii="Arial" w:hAnsi="Arial" w:cs="Arial"/>
          <w:sz w:val="24"/>
          <w:szCs w:val="24"/>
        </w:rPr>
        <w:t xml:space="preserve">. Çalışmada standardizasyon tarafından oluşturulan katma değerin </w:t>
      </w:r>
      <w:r w:rsidR="00F50327" w:rsidRPr="00F50327">
        <w:rPr>
          <w:rFonts w:ascii="Arial" w:hAnsi="Arial" w:cs="Arial"/>
          <w:sz w:val="24"/>
          <w:szCs w:val="24"/>
        </w:rPr>
        <w:t>patentler</w:t>
      </w:r>
      <w:r w:rsidRPr="00F50327">
        <w:rPr>
          <w:rFonts w:ascii="Arial" w:hAnsi="Arial" w:cs="Arial"/>
          <w:sz w:val="24"/>
          <w:szCs w:val="24"/>
        </w:rPr>
        <w:t xml:space="preserve"> tarafından oluştur</w:t>
      </w:r>
      <w:r w:rsidR="00F50327">
        <w:rPr>
          <w:rFonts w:ascii="Arial" w:hAnsi="Arial" w:cs="Arial"/>
          <w:sz w:val="24"/>
          <w:szCs w:val="24"/>
        </w:rPr>
        <w:t>ulan</w:t>
      </w:r>
      <w:r w:rsidRPr="00F50327">
        <w:rPr>
          <w:rFonts w:ascii="Arial" w:hAnsi="Arial" w:cs="Arial"/>
          <w:sz w:val="24"/>
          <w:szCs w:val="24"/>
        </w:rPr>
        <w:t xml:space="preserve"> katma değer kadar önemli olduğu vurgulanmıştır. Bu da standardizasyonun Avrupa politikaları için bu derece önemli olduğunu doğrulamaktadır. Komisyon bu gerçeklerin farkındadı</w:t>
      </w:r>
      <w:r w:rsidR="00F50327">
        <w:rPr>
          <w:rFonts w:ascii="Arial" w:hAnsi="Arial" w:cs="Arial"/>
          <w:sz w:val="24"/>
          <w:szCs w:val="24"/>
        </w:rPr>
        <w:t>r</w:t>
      </w:r>
      <w:r w:rsidRPr="00F50327">
        <w:rPr>
          <w:rFonts w:ascii="Arial" w:hAnsi="Arial" w:cs="Arial"/>
          <w:sz w:val="24"/>
          <w:szCs w:val="24"/>
        </w:rPr>
        <w:t xml:space="preserve"> ve bu nedenle </w:t>
      </w:r>
      <w:r w:rsidR="0055430B" w:rsidRPr="00F50327">
        <w:rPr>
          <w:rFonts w:ascii="Arial" w:hAnsi="Arial" w:cs="Arial"/>
          <w:sz w:val="24"/>
          <w:szCs w:val="24"/>
        </w:rPr>
        <w:t>bu politikalarla ilgili olarak standartların kullanımı çeşitli dokümanlarında yer almaktadır.</w:t>
      </w:r>
    </w:p>
    <w:p w:rsidR="00F50327" w:rsidRPr="00F50327" w:rsidRDefault="00F50327" w:rsidP="00F50327">
      <w:pPr>
        <w:shd w:val="clear" w:color="auto" w:fill="FFFFFF"/>
        <w:spacing w:line="360" w:lineRule="auto"/>
        <w:ind w:right="2"/>
        <w:jc w:val="both"/>
        <w:rPr>
          <w:rFonts w:ascii="Arial" w:hAnsi="Arial" w:cs="Arial"/>
          <w:sz w:val="24"/>
          <w:szCs w:val="24"/>
        </w:rPr>
      </w:pPr>
    </w:p>
    <w:p w:rsidR="0055430B" w:rsidRDefault="0055430B" w:rsidP="00F50327">
      <w:pPr>
        <w:shd w:val="clear" w:color="auto" w:fill="FFFFFF"/>
        <w:spacing w:line="360" w:lineRule="auto"/>
        <w:ind w:right="2"/>
        <w:jc w:val="both"/>
        <w:rPr>
          <w:rFonts w:ascii="Arial" w:hAnsi="Arial" w:cs="Arial"/>
          <w:b/>
          <w:sz w:val="24"/>
          <w:szCs w:val="24"/>
        </w:rPr>
      </w:pPr>
      <w:r w:rsidRPr="00F50327">
        <w:rPr>
          <w:rFonts w:ascii="Arial" w:hAnsi="Arial" w:cs="Arial"/>
          <w:b/>
          <w:i/>
          <w:iCs/>
          <w:spacing w:val="1"/>
          <w:sz w:val="24"/>
          <w:szCs w:val="24"/>
        </w:rPr>
        <w:t>2</w:t>
      </w:r>
      <w:r w:rsidRPr="00F50327">
        <w:rPr>
          <w:rFonts w:ascii="Arial" w:hAnsi="Arial" w:cs="Arial"/>
          <w:b/>
          <w:sz w:val="24"/>
          <w:szCs w:val="24"/>
        </w:rPr>
        <w:t>.2.1 İç pazarın ürün ve hizmetler için geliştirilmesi</w:t>
      </w:r>
    </w:p>
    <w:p w:rsidR="00F50327" w:rsidRPr="00F50327" w:rsidRDefault="00F50327" w:rsidP="00F50327">
      <w:pPr>
        <w:shd w:val="clear" w:color="auto" w:fill="FFFFFF"/>
        <w:spacing w:line="360" w:lineRule="auto"/>
        <w:ind w:right="2"/>
        <w:jc w:val="both"/>
        <w:rPr>
          <w:rFonts w:ascii="Arial" w:hAnsi="Arial" w:cs="Arial"/>
          <w:b/>
          <w:sz w:val="24"/>
          <w:szCs w:val="24"/>
        </w:rPr>
      </w:pPr>
    </w:p>
    <w:p w:rsidR="0055430B" w:rsidRDefault="00511A9D"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2003-2006 İç Pazar Stratejisinde</w:t>
      </w:r>
      <w:r w:rsidR="00747599" w:rsidRPr="00F50327">
        <w:rPr>
          <w:rStyle w:val="DipnotBavurusu"/>
          <w:rFonts w:ascii="Arial" w:hAnsi="Arial" w:cs="Arial"/>
          <w:b/>
          <w:bCs/>
          <w:color w:val="000000"/>
          <w:spacing w:val="-2"/>
          <w:sz w:val="24"/>
          <w:szCs w:val="24"/>
        </w:rPr>
        <w:footnoteReference w:id="11"/>
      </w:r>
      <w:r w:rsidR="00747599" w:rsidRPr="00F50327">
        <w:rPr>
          <w:rFonts w:ascii="Arial" w:hAnsi="Arial" w:cs="Arial"/>
          <w:b/>
          <w:bCs/>
          <w:color w:val="000000"/>
          <w:spacing w:val="-2"/>
          <w:sz w:val="24"/>
          <w:szCs w:val="24"/>
          <w:vertAlign w:val="superscript"/>
        </w:rPr>
        <w:t>12</w:t>
      </w:r>
      <w:r w:rsidRPr="00F50327">
        <w:rPr>
          <w:rFonts w:ascii="Arial" w:hAnsi="Arial" w:cs="Arial"/>
          <w:sz w:val="24"/>
          <w:szCs w:val="24"/>
        </w:rPr>
        <w:t xml:space="preserve"> yer aldığı üzere Komisyon on nokta planı geliştirerek iç pazarın dana iyi çalışmasının sağlamıştır.</w:t>
      </w:r>
      <w:r w:rsidR="00747599" w:rsidRPr="00F50327">
        <w:rPr>
          <w:rFonts w:ascii="Arial" w:hAnsi="Arial" w:cs="Arial"/>
          <w:sz w:val="24"/>
          <w:szCs w:val="24"/>
        </w:rPr>
        <w:t xml:space="preserve"> Ürü</w:t>
      </w:r>
      <w:r w:rsidR="00EB4911" w:rsidRPr="00F50327">
        <w:rPr>
          <w:rFonts w:ascii="Arial" w:hAnsi="Arial" w:cs="Arial"/>
          <w:sz w:val="24"/>
          <w:szCs w:val="24"/>
        </w:rPr>
        <w:t xml:space="preserve">nlerin serbest </w:t>
      </w:r>
      <w:r w:rsidR="00EB4911" w:rsidRPr="00F50327">
        <w:rPr>
          <w:rFonts w:ascii="Arial" w:hAnsi="Arial" w:cs="Arial"/>
          <w:sz w:val="24"/>
          <w:szCs w:val="24"/>
        </w:rPr>
        <w:lastRenderedPageBreak/>
        <w:t>dolaşımının geliştirilmesi ve hizmetlerin serbest dolaşımının sağlanması gibi dikkate değer pratik gerçek önceliklerdir.</w:t>
      </w:r>
    </w:p>
    <w:p w:rsidR="00F50327" w:rsidRPr="00F50327" w:rsidRDefault="00F50327" w:rsidP="00F50327">
      <w:pPr>
        <w:shd w:val="clear" w:color="auto" w:fill="FFFFFF"/>
        <w:spacing w:line="360" w:lineRule="auto"/>
        <w:ind w:right="2"/>
        <w:jc w:val="both"/>
        <w:rPr>
          <w:rFonts w:ascii="Arial" w:hAnsi="Arial" w:cs="Arial"/>
          <w:sz w:val="24"/>
          <w:szCs w:val="24"/>
        </w:rPr>
      </w:pPr>
    </w:p>
    <w:p w:rsidR="00EB4911" w:rsidRDefault="00EB4911"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Hizmet sektörleri (Ör: iş hizmetleri, ulaştırma, enerji, </w:t>
      </w:r>
      <w:r w:rsidR="00F50327" w:rsidRPr="00F50327">
        <w:rPr>
          <w:rFonts w:ascii="Arial" w:hAnsi="Arial" w:cs="Arial"/>
          <w:sz w:val="24"/>
          <w:szCs w:val="24"/>
        </w:rPr>
        <w:t>telekomünikasyon</w:t>
      </w:r>
      <w:r w:rsidRPr="00F50327">
        <w:rPr>
          <w:rFonts w:ascii="Arial" w:hAnsi="Arial" w:cs="Arial"/>
          <w:sz w:val="24"/>
          <w:szCs w:val="24"/>
        </w:rPr>
        <w:t xml:space="preserve">, turizm ve serbestlik) Avrupa Birliği Pazar ekonomisindeki toplam istihdamın büyük bir oranını kapsamaktadır. (tüm </w:t>
      </w:r>
      <w:r w:rsidR="00F50327" w:rsidRPr="00F50327">
        <w:rPr>
          <w:rFonts w:ascii="Arial" w:hAnsi="Arial" w:cs="Arial"/>
          <w:sz w:val="24"/>
          <w:szCs w:val="24"/>
        </w:rPr>
        <w:t>istihdamın</w:t>
      </w:r>
      <w:r w:rsidRPr="00F50327">
        <w:rPr>
          <w:rFonts w:ascii="Arial" w:hAnsi="Arial" w:cs="Arial"/>
          <w:sz w:val="24"/>
          <w:szCs w:val="24"/>
        </w:rPr>
        <w:t xml:space="preserve"> %70’</w:t>
      </w:r>
      <w:r w:rsidR="000930D7" w:rsidRPr="00F50327">
        <w:rPr>
          <w:rFonts w:ascii="Arial" w:hAnsi="Arial" w:cs="Arial"/>
          <w:sz w:val="24"/>
          <w:szCs w:val="24"/>
        </w:rPr>
        <w:t>ı</w:t>
      </w:r>
      <w:r w:rsidRPr="00F50327">
        <w:rPr>
          <w:rFonts w:ascii="Arial" w:hAnsi="Arial" w:cs="Arial"/>
          <w:sz w:val="24"/>
          <w:szCs w:val="24"/>
        </w:rPr>
        <w:t xml:space="preserve"> Pazar hizmetlerindedir)</w:t>
      </w:r>
      <w:r w:rsidR="00747599" w:rsidRPr="00F50327">
        <w:rPr>
          <w:rStyle w:val="DipnotBavurusu"/>
          <w:rFonts w:ascii="Arial" w:hAnsi="Arial" w:cs="Arial"/>
          <w:color w:val="000000"/>
          <w:spacing w:val="5"/>
          <w:sz w:val="24"/>
          <w:szCs w:val="24"/>
        </w:rPr>
        <w:footnoteReference w:id="12"/>
      </w:r>
      <w:r w:rsidR="00747599" w:rsidRPr="00F50327">
        <w:rPr>
          <w:rFonts w:ascii="Arial" w:hAnsi="Arial" w:cs="Arial"/>
          <w:color w:val="000000"/>
          <w:spacing w:val="5"/>
          <w:sz w:val="24"/>
          <w:szCs w:val="24"/>
          <w:vertAlign w:val="superscript"/>
        </w:rPr>
        <w:t>13</w:t>
      </w:r>
      <w:r w:rsidR="00747599" w:rsidRPr="00F50327">
        <w:rPr>
          <w:rFonts w:ascii="Arial" w:hAnsi="Arial" w:cs="Arial"/>
          <w:color w:val="000000"/>
          <w:spacing w:val="5"/>
          <w:sz w:val="24"/>
          <w:szCs w:val="24"/>
        </w:rPr>
        <w:t xml:space="preserve"> </w:t>
      </w:r>
      <w:r w:rsidRPr="00F50327">
        <w:rPr>
          <w:rFonts w:ascii="Arial" w:hAnsi="Arial" w:cs="Arial"/>
          <w:sz w:val="24"/>
          <w:szCs w:val="24"/>
        </w:rPr>
        <w:t>Yine de hizmet alanındaki gönüllü standartların sağlanması bu alanın ekonomik öneminin ve potansiyelinin oldukça gerişinde kalmaktadır</w:t>
      </w:r>
      <w:r w:rsidR="00747599" w:rsidRPr="00F50327">
        <w:rPr>
          <w:rStyle w:val="DipnotBavurusu"/>
          <w:rFonts w:ascii="Arial" w:hAnsi="Arial" w:cs="Arial"/>
          <w:b/>
          <w:bCs/>
          <w:color w:val="000000"/>
          <w:spacing w:val="-2"/>
          <w:sz w:val="24"/>
          <w:szCs w:val="24"/>
        </w:rPr>
        <w:footnoteReference w:id="13"/>
      </w:r>
      <w:r w:rsidRPr="00F50327">
        <w:rPr>
          <w:rFonts w:ascii="Arial" w:hAnsi="Arial" w:cs="Arial"/>
          <w:sz w:val="24"/>
          <w:szCs w:val="24"/>
        </w:rPr>
        <w:t>.</w:t>
      </w:r>
    </w:p>
    <w:p w:rsidR="00F50327" w:rsidRPr="00F50327" w:rsidRDefault="00F50327" w:rsidP="00F50327">
      <w:pPr>
        <w:shd w:val="clear" w:color="auto" w:fill="FFFFFF"/>
        <w:spacing w:line="360" w:lineRule="auto"/>
        <w:ind w:right="2"/>
        <w:jc w:val="both"/>
        <w:rPr>
          <w:rFonts w:ascii="Arial" w:hAnsi="Arial" w:cs="Arial"/>
          <w:sz w:val="24"/>
          <w:szCs w:val="24"/>
        </w:rPr>
      </w:pPr>
    </w:p>
    <w:p w:rsidR="00840202" w:rsidRDefault="003F6751"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A</w:t>
      </w:r>
      <w:r w:rsidR="00840202" w:rsidRPr="00F50327">
        <w:rPr>
          <w:rFonts w:ascii="Arial" w:hAnsi="Arial" w:cs="Arial"/>
          <w:sz w:val="24"/>
          <w:szCs w:val="24"/>
        </w:rPr>
        <w:t xml:space="preserve">vrupa standartları iç-AB </w:t>
      </w:r>
      <w:r w:rsidRPr="00F50327">
        <w:rPr>
          <w:rFonts w:ascii="Arial" w:hAnsi="Arial" w:cs="Arial"/>
          <w:sz w:val="24"/>
          <w:szCs w:val="24"/>
        </w:rPr>
        <w:t xml:space="preserve">ticaretini hizmetlerde geliştirebilecek ve rekabetçiliği teşvik edecek ölçülerden biri olarak kabul edilmektedir. Buna göre Avrupa Standart Kurumlarına Komisyon tarafından paydaşlarla birlikte Avrupa standardizasyonunun </w:t>
      </w:r>
      <w:r w:rsidR="00F50327" w:rsidRPr="00F50327">
        <w:rPr>
          <w:rFonts w:ascii="Arial" w:hAnsi="Arial" w:cs="Arial"/>
          <w:sz w:val="24"/>
          <w:szCs w:val="24"/>
        </w:rPr>
        <w:t>öncelikli</w:t>
      </w:r>
      <w:r w:rsidRPr="00F50327">
        <w:rPr>
          <w:rFonts w:ascii="Arial" w:hAnsi="Arial" w:cs="Arial"/>
          <w:sz w:val="24"/>
          <w:szCs w:val="24"/>
        </w:rPr>
        <w:t xml:space="preserve"> alanlarını belirleme ve Avrupa düzeyinde olacak dinamik standart süreçlerini başlatması istenmiştir.  </w:t>
      </w:r>
    </w:p>
    <w:p w:rsidR="00F50327" w:rsidRPr="00F50327" w:rsidRDefault="00F50327" w:rsidP="00F50327">
      <w:pPr>
        <w:shd w:val="clear" w:color="auto" w:fill="FFFFFF"/>
        <w:spacing w:line="360" w:lineRule="auto"/>
        <w:ind w:right="2"/>
        <w:jc w:val="both"/>
        <w:rPr>
          <w:rFonts w:ascii="Arial" w:hAnsi="Arial" w:cs="Arial"/>
          <w:sz w:val="24"/>
          <w:szCs w:val="24"/>
        </w:rPr>
      </w:pPr>
    </w:p>
    <w:p w:rsidR="008E0FAF" w:rsidRDefault="003F6751"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Ek olarak Komisyon ortak standartların var olmasına rağmen, sertifikasyon sistemlerinin ve ulusal kalite işaretinin halen dağınık olduğunu üzüntü ile bildirmiştir. </w:t>
      </w:r>
      <w:r w:rsidR="008E0FAF" w:rsidRPr="00F50327">
        <w:rPr>
          <w:rFonts w:ascii="Arial" w:hAnsi="Arial" w:cs="Arial"/>
          <w:sz w:val="24"/>
          <w:szCs w:val="24"/>
        </w:rPr>
        <w:t>Ürünlerinin AB pazarında yer almasını isteyen üreticiler bu nedenle sık sık ilgili ulusal sertifikasyon işaretini koyarak ürünlerinin uyumluluğunu kanıtlamak zorunluluğunu hissetmektedirler. Gönüllü standartlarla uyumluluk için gönül</w:t>
      </w:r>
      <w:r w:rsidR="00F50327">
        <w:rPr>
          <w:rFonts w:ascii="Arial" w:hAnsi="Arial" w:cs="Arial"/>
          <w:sz w:val="24"/>
          <w:szCs w:val="24"/>
        </w:rPr>
        <w:t>l</w:t>
      </w:r>
      <w:r w:rsidR="008E0FAF" w:rsidRPr="00F50327">
        <w:rPr>
          <w:rFonts w:ascii="Arial" w:hAnsi="Arial" w:cs="Arial"/>
          <w:sz w:val="24"/>
          <w:szCs w:val="24"/>
        </w:rPr>
        <w:t xml:space="preserve">ülük temelini sağlamak için Ortak Avrupa anahtar işaret sistemine güvenmek ileriye doğru büyük bir adım olacaktır. </w:t>
      </w:r>
    </w:p>
    <w:p w:rsidR="00F50327" w:rsidRPr="00F50327" w:rsidRDefault="00F50327" w:rsidP="00F50327">
      <w:pPr>
        <w:shd w:val="clear" w:color="auto" w:fill="FFFFFF"/>
        <w:spacing w:line="360" w:lineRule="auto"/>
        <w:ind w:right="2"/>
        <w:jc w:val="both"/>
        <w:rPr>
          <w:rFonts w:ascii="Arial" w:hAnsi="Arial" w:cs="Arial"/>
          <w:sz w:val="24"/>
          <w:szCs w:val="24"/>
        </w:rPr>
      </w:pPr>
    </w:p>
    <w:p w:rsidR="008E0FAF" w:rsidRDefault="008E0FAF"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Avrupa Standart Kurumları, bunların ulusal üyeleri, Üye Ülkeler ve paydaşlar bu alana erişimin nasıl geliştirileceğine dair çözüm aramak için davet edilmişlerdir.</w:t>
      </w:r>
    </w:p>
    <w:p w:rsidR="00F50327" w:rsidRDefault="00F50327" w:rsidP="00F50327">
      <w:pPr>
        <w:shd w:val="clear" w:color="auto" w:fill="FFFFFF"/>
        <w:spacing w:line="360" w:lineRule="auto"/>
        <w:ind w:right="2"/>
        <w:jc w:val="both"/>
        <w:rPr>
          <w:rFonts w:ascii="Arial" w:hAnsi="Arial" w:cs="Arial"/>
          <w:sz w:val="24"/>
          <w:szCs w:val="24"/>
        </w:rPr>
      </w:pPr>
    </w:p>
    <w:p w:rsidR="008E0FAF" w:rsidRDefault="008E0FAF" w:rsidP="00F50327">
      <w:pPr>
        <w:shd w:val="clear" w:color="auto" w:fill="FFFFFF"/>
        <w:tabs>
          <w:tab w:val="left" w:pos="840"/>
        </w:tabs>
        <w:spacing w:line="360" w:lineRule="auto"/>
        <w:jc w:val="both"/>
        <w:rPr>
          <w:rFonts w:ascii="Arial" w:hAnsi="Arial" w:cs="Arial"/>
          <w:b/>
          <w:sz w:val="24"/>
          <w:szCs w:val="24"/>
        </w:rPr>
      </w:pPr>
      <w:r w:rsidRPr="00F50327">
        <w:rPr>
          <w:rFonts w:ascii="Arial" w:hAnsi="Arial" w:cs="Arial"/>
          <w:b/>
          <w:sz w:val="24"/>
          <w:szCs w:val="24"/>
        </w:rPr>
        <w:t>2.2.2. Yenilenme</w:t>
      </w:r>
    </w:p>
    <w:p w:rsidR="00F50327" w:rsidRPr="00F50327" w:rsidRDefault="00F50327" w:rsidP="00F50327">
      <w:pPr>
        <w:shd w:val="clear" w:color="auto" w:fill="FFFFFF"/>
        <w:tabs>
          <w:tab w:val="left" w:pos="840"/>
        </w:tabs>
        <w:spacing w:line="360" w:lineRule="auto"/>
        <w:jc w:val="both"/>
        <w:rPr>
          <w:rFonts w:ascii="Arial" w:hAnsi="Arial" w:cs="Arial"/>
          <w:b/>
          <w:sz w:val="24"/>
          <w:szCs w:val="24"/>
        </w:rPr>
      </w:pPr>
    </w:p>
    <w:p w:rsidR="008E0FAF" w:rsidRDefault="008E0FAF" w:rsidP="00F50327">
      <w:pPr>
        <w:shd w:val="clear" w:color="auto" w:fill="FFFFFF"/>
        <w:spacing w:line="360" w:lineRule="auto"/>
        <w:ind w:right="19"/>
        <w:jc w:val="both"/>
        <w:rPr>
          <w:rFonts w:ascii="Arial" w:hAnsi="Arial" w:cs="Arial"/>
          <w:sz w:val="24"/>
          <w:szCs w:val="24"/>
        </w:rPr>
      </w:pPr>
      <w:r w:rsidRPr="00F50327">
        <w:rPr>
          <w:rFonts w:ascii="Arial" w:hAnsi="Arial" w:cs="Arial"/>
          <w:sz w:val="24"/>
          <w:szCs w:val="24"/>
        </w:rPr>
        <w:t xml:space="preserve">Standartlar yenilenmede önemli rol oynamaktadırlar, böylece Araştırma ve </w:t>
      </w:r>
      <w:r w:rsidRPr="00F50327">
        <w:rPr>
          <w:rFonts w:ascii="Arial" w:hAnsi="Arial" w:cs="Arial"/>
          <w:sz w:val="24"/>
          <w:szCs w:val="24"/>
        </w:rPr>
        <w:lastRenderedPageBreak/>
        <w:t xml:space="preserve">geliştirmedeki iş geliştirme kararlarını etkilemektedirler. Teknik bilginin en güncel kaynağı olarak standartlar bilgiye dayalı ekonomiyi genişletirken, yeni teknolojileri ve araştırma sonuçlarını uyumlu bir şekilde yeni ürünlerin ve hizmetlerin tasarım ve geliştirme süreçlerine </w:t>
      </w:r>
      <w:proofErr w:type="gramStart"/>
      <w:r w:rsidRPr="00F50327">
        <w:rPr>
          <w:rFonts w:ascii="Arial" w:hAnsi="Arial" w:cs="Arial"/>
          <w:sz w:val="24"/>
          <w:szCs w:val="24"/>
        </w:rPr>
        <w:t>entegre</w:t>
      </w:r>
      <w:proofErr w:type="gramEnd"/>
      <w:r w:rsidRPr="00F50327">
        <w:rPr>
          <w:rFonts w:ascii="Arial" w:hAnsi="Arial" w:cs="Arial"/>
          <w:sz w:val="24"/>
          <w:szCs w:val="24"/>
        </w:rPr>
        <w:t xml:space="preserve"> edebilirler. </w:t>
      </w:r>
      <w:r w:rsidR="00B018C9" w:rsidRPr="00F50327">
        <w:rPr>
          <w:rFonts w:ascii="Arial" w:hAnsi="Arial" w:cs="Arial"/>
          <w:sz w:val="24"/>
          <w:szCs w:val="24"/>
        </w:rPr>
        <w:t xml:space="preserve">Pazar aracı olarak standartlar ticarete ortak </w:t>
      </w:r>
      <w:r w:rsidR="00F50327" w:rsidRPr="00F50327">
        <w:rPr>
          <w:rFonts w:ascii="Arial" w:hAnsi="Arial" w:cs="Arial"/>
          <w:sz w:val="24"/>
          <w:szCs w:val="24"/>
        </w:rPr>
        <w:t>ticaret</w:t>
      </w:r>
      <w:r w:rsidR="00B018C9" w:rsidRPr="00F50327">
        <w:rPr>
          <w:rFonts w:ascii="Arial" w:hAnsi="Arial" w:cs="Arial"/>
          <w:sz w:val="24"/>
          <w:szCs w:val="24"/>
        </w:rPr>
        <w:t xml:space="preserve"> dil geliştirmede yardım ederler. Bununla ilgili önemli bir örnek mobil iletişim için uluslararası bir Pazar yaratan ve </w:t>
      </w:r>
      <w:r w:rsidR="00F50327" w:rsidRPr="00F50327">
        <w:rPr>
          <w:rFonts w:ascii="Arial" w:hAnsi="Arial" w:cs="Arial"/>
          <w:sz w:val="24"/>
          <w:szCs w:val="24"/>
        </w:rPr>
        <w:t>birçok</w:t>
      </w:r>
      <w:r w:rsidR="00B018C9" w:rsidRPr="00F50327">
        <w:rPr>
          <w:rFonts w:ascii="Arial" w:hAnsi="Arial" w:cs="Arial"/>
          <w:sz w:val="24"/>
          <w:szCs w:val="24"/>
        </w:rPr>
        <w:t xml:space="preserve"> mobil uygulamanın geliştirilmesi için itici güç olan GSM’dir. (Mobil İletişim için Küresel Sistem)</w:t>
      </w:r>
    </w:p>
    <w:p w:rsidR="00F50327" w:rsidRPr="00F50327" w:rsidRDefault="00F50327" w:rsidP="00F50327">
      <w:pPr>
        <w:shd w:val="clear" w:color="auto" w:fill="FFFFFF"/>
        <w:spacing w:line="360" w:lineRule="auto"/>
        <w:ind w:right="19"/>
        <w:jc w:val="both"/>
        <w:rPr>
          <w:rFonts w:ascii="Arial" w:hAnsi="Arial" w:cs="Arial"/>
          <w:sz w:val="24"/>
          <w:szCs w:val="24"/>
        </w:rPr>
      </w:pPr>
    </w:p>
    <w:p w:rsidR="00B018C9" w:rsidRDefault="00B018C9" w:rsidP="00F50327">
      <w:pPr>
        <w:shd w:val="clear" w:color="auto" w:fill="FFFFFF"/>
        <w:spacing w:line="360" w:lineRule="auto"/>
        <w:ind w:right="19"/>
        <w:jc w:val="both"/>
        <w:rPr>
          <w:rFonts w:ascii="Arial" w:hAnsi="Arial" w:cs="Arial"/>
          <w:sz w:val="24"/>
          <w:szCs w:val="24"/>
        </w:rPr>
      </w:pPr>
      <w:r w:rsidRPr="00F50327">
        <w:rPr>
          <w:rFonts w:ascii="Arial" w:hAnsi="Arial" w:cs="Arial"/>
          <w:sz w:val="24"/>
          <w:szCs w:val="24"/>
        </w:rPr>
        <w:t xml:space="preserve">Ayrıca yeni uydu navigasyon altyapısı olan “Galileo” için, Avrupa ve uluslararası standartlar aynı biçimde sadece uygulaması için değil aynı zamanda geniş yelpazedeki uygulamalarda kullanımı için destek </w:t>
      </w:r>
      <w:r w:rsidR="00F50327" w:rsidRPr="00F50327">
        <w:rPr>
          <w:rFonts w:ascii="Arial" w:hAnsi="Arial" w:cs="Arial"/>
          <w:sz w:val="24"/>
          <w:szCs w:val="24"/>
        </w:rPr>
        <w:t>sağlamıştır</w:t>
      </w:r>
      <w:r w:rsidRPr="00F50327">
        <w:rPr>
          <w:rFonts w:ascii="Arial" w:hAnsi="Arial" w:cs="Arial"/>
          <w:sz w:val="24"/>
          <w:szCs w:val="24"/>
        </w:rPr>
        <w:t>.  G</w:t>
      </w:r>
      <w:r w:rsidR="00F50327">
        <w:rPr>
          <w:rFonts w:ascii="Arial" w:hAnsi="Arial" w:cs="Arial"/>
          <w:sz w:val="24"/>
          <w:szCs w:val="24"/>
        </w:rPr>
        <w:t>alileo araç ve hizmetlerinin kür</w:t>
      </w:r>
      <w:r w:rsidRPr="00F50327">
        <w:rPr>
          <w:rFonts w:ascii="Arial" w:hAnsi="Arial" w:cs="Arial"/>
          <w:sz w:val="24"/>
          <w:szCs w:val="24"/>
        </w:rPr>
        <w:t xml:space="preserve">esel pazara düzgün girişi ilişkili standartların yaygın kabulüne bağlıdır. </w:t>
      </w:r>
      <w:r w:rsidR="00747599" w:rsidRPr="00F50327">
        <w:rPr>
          <w:rFonts w:ascii="Arial" w:hAnsi="Arial" w:cs="Arial"/>
          <w:sz w:val="24"/>
          <w:szCs w:val="24"/>
        </w:rPr>
        <w:t>Kuralcı araştırma (st</w:t>
      </w:r>
      <w:r w:rsidR="00183C8C" w:rsidRPr="00F50327">
        <w:rPr>
          <w:rFonts w:ascii="Arial" w:hAnsi="Arial" w:cs="Arial"/>
          <w:sz w:val="24"/>
          <w:szCs w:val="24"/>
        </w:rPr>
        <w:t>andartlar için bilimsel zemin sağlamak için araştırma) iş çevresine araştırma ve geliştirme ve yenilenme yatırımlarında yardımcı katkı sağlamaktadır. Araştırma çalışmaları ve standardizasyon arasındaki bağı ilişkiyi standardizasyon için en çok fayda bakışıyla güçlendirmek önemlilik arz eder.</w:t>
      </w:r>
    </w:p>
    <w:p w:rsidR="00F50327" w:rsidRPr="00F50327" w:rsidRDefault="00F50327" w:rsidP="00F50327">
      <w:pPr>
        <w:shd w:val="clear" w:color="auto" w:fill="FFFFFF"/>
        <w:spacing w:line="360" w:lineRule="auto"/>
        <w:ind w:right="19"/>
        <w:jc w:val="both"/>
        <w:rPr>
          <w:rFonts w:ascii="Arial" w:hAnsi="Arial" w:cs="Arial"/>
          <w:sz w:val="24"/>
          <w:szCs w:val="24"/>
        </w:rPr>
      </w:pPr>
    </w:p>
    <w:p w:rsidR="00183C8C" w:rsidRDefault="00183C8C" w:rsidP="00F50327">
      <w:pPr>
        <w:shd w:val="clear" w:color="auto" w:fill="FFFFFF"/>
        <w:spacing w:line="360" w:lineRule="auto"/>
        <w:ind w:right="19"/>
        <w:jc w:val="both"/>
        <w:rPr>
          <w:rFonts w:ascii="Arial" w:hAnsi="Arial" w:cs="Arial"/>
          <w:b/>
          <w:sz w:val="24"/>
          <w:szCs w:val="24"/>
        </w:rPr>
      </w:pPr>
      <w:r w:rsidRPr="00F50327">
        <w:rPr>
          <w:rFonts w:ascii="Arial" w:hAnsi="Arial" w:cs="Arial"/>
          <w:b/>
          <w:sz w:val="24"/>
          <w:szCs w:val="24"/>
        </w:rPr>
        <w:t>2.2.3 Standardizasyon ve ICT/IT</w:t>
      </w:r>
    </w:p>
    <w:p w:rsidR="00F50327" w:rsidRPr="00F50327" w:rsidRDefault="00F50327" w:rsidP="00F50327">
      <w:pPr>
        <w:shd w:val="clear" w:color="auto" w:fill="FFFFFF"/>
        <w:spacing w:line="360" w:lineRule="auto"/>
        <w:ind w:right="19"/>
        <w:jc w:val="both"/>
        <w:rPr>
          <w:rFonts w:ascii="Arial" w:hAnsi="Arial" w:cs="Arial"/>
          <w:b/>
          <w:sz w:val="24"/>
          <w:szCs w:val="24"/>
        </w:rPr>
      </w:pPr>
    </w:p>
    <w:p w:rsidR="00EA2EDA" w:rsidRDefault="00EA2EDA" w:rsidP="00F50327">
      <w:pPr>
        <w:shd w:val="clear" w:color="auto" w:fill="FFFFFF"/>
        <w:spacing w:line="360" w:lineRule="auto"/>
        <w:ind w:right="24"/>
        <w:jc w:val="both"/>
        <w:rPr>
          <w:rFonts w:ascii="Arial" w:hAnsi="Arial" w:cs="Arial"/>
          <w:sz w:val="24"/>
          <w:szCs w:val="24"/>
        </w:rPr>
      </w:pPr>
      <w:r w:rsidRPr="00F50327">
        <w:rPr>
          <w:rFonts w:ascii="Arial" w:hAnsi="Arial" w:cs="Arial"/>
          <w:sz w:val="24"/>
          <w:szCs w:val="24"/>
        </w:rPr>
        <w:t>Standart</w:t>
      </w:r>
      <w:r w:rsidR="00747599" w:rsidRPr="00F50327">
        <w:rPr>
          <w:rFonts w:ascii="Arial" w:hAnsi="Arial" w:cs="Arial"/>
          <w:sz w:val="24"/>
          <w:szCs w:val="24"/>
        </w:rPr>
        <w:t>lar birlikte işlerliği yaratmay</w:t>
      </w:r>
      <w:r w:rsidRPr="00F50327">
        <w:rPr>
          <w:rFonts w:ascii="Arial" w:hAnsi="Arial" w:cs="Arial"/>
          <w:sz w:val="24"/>
          <w:szCs w:val="24"/>
        </w:rPr>
        <w:t>a ve sağlamaya yardımcı olur ve böylece pazarların bölünmesinden kaçınmaya katkı sağlar. Bu durum hızlı gelişen pazarlar için değişen teknoloji ile birlikte özellikle de ICT alanında kayda değer önem taşımaktadır. Burada Pazar yeri esaslı ve kalıcı olarak son on yıl boyunca değişmiştir. Pazarın serbestleşmesi sektörler arasındaki rekabeti getirmiştir. Geçmişin tek parça dünyasının yerini heterojen teknoloji gelişmeler almıştır.</w:t>
      </w:r>
    </w:p>
    <w:p w:rsidR="00F50327" w:rsidRPr="00F50327" w:rsidRDefault="00F50327" w:rsidP="00F50327">
      <w:pPr>
        <w:shd w:val="clear" w:color="auto" w:fill="FFFFFF"/>
        <w:spacing w:line="360" w:lineRule="auto"/>
        <w:ind w:right="24"/>
        <w:jc w:val="both"/>
        <w:rPr>
          <w:rFonts w:ascii="Arial" w:hAnsi="Arial" w:cs="Arial"/>
          <w:sz w:val="24"/>
          <w:szCs w:val="24"/>
        </w:rPr>
      </w:pPr>
    </w:p>
    <w:p w:rsidR="00EA2EDA" w:rsidRDefault="00EA2EDA" w:rsidP="00F50327">
      <w:pPr>
        <w:shd w:val="clear" w:color="auto" w:fill="FFFFFF"/>
        <w:spacing w:line="360" w:lineRule="auto"/>
        <w:jc w:val="both"/>
        <w:rPr>
          <w:rFonts w:ascii="Arial" w:hAnsi="Arial" w:cs="Arial"/>
          <w:sz w:val="24"/>
          <w:szCs w:val="24"/>
        </w:rPr>
      </w:pPr>
      <w:r w:rsidRPr="00F50327">
        <w:rPr>
          <w:rFonts w:ascii="Arial" w:hAnsi="Arial" w:cs="Arial"/>
          <w:sz w:val="24"/>
          <w:szCs w:val="24"/>
        </w:rPr>
        <w:t xml:space="preserve">Burada </w:t>
      </w:r>
      <w:r w:rsidR="00A85A91" w:rsidRPr="00F50327">
        <w:rPr>
          <w:rFonts w:ascii="Arial" w:hAnsi="Arial" w:cs="Arial"/>
          <w:sz w:val="24"/>
          <w:szCs w:val="24"/>
        </w:rPr>
        <w:t xml:space="preserve">donanımdan yazılıma önemli bir geçiş bulunmaktadır. Bu durum standardizasyonun geleneksel biçimlerinden kısa sürede geliştirilen ürünlere ve faydalanma döngülerine geçişi işaret etmektedir. Standartlara paralel rotalar yaratarak Pazar bölünmesinden kaçınmanın ana gerekliliği olan standartların dağıtımının hızlandıran gereklilik olan ve yeni dağıtılabilenleri teşvik eden birlikte işlerlik amacına ulaşmayı sağlar. Ayrıca </w:t>
      </w:r>
      <w:r w:rsidR="00F50327" w:rsidRPr="00F50327">
        <w:rPr>
          <w:rFonts w:ascii="Arial" w:hAnsi="Arial" w:cs="Arial"/>
          <w:sz w:val="24"/>
          <w:szCs w:val="24"/>
        </w:rPr>
        <w:t>telekomünikasyon</w:t>
      </w:r>
      <w:r w:rsidR="00A85A91" w:rsidRPr="00F50327">
        <w:rPr>
          <w:rFonts w:ascii="Arial" w:hAnsi="Arial" w:cs="Arial"/>
          <w:sz w:val="24"/>
          <w:szCs w:val="24"/>
        </w:rPr>
        <w:t xml:space="preserve"> ve Bilgi teknolojileri </w:t>
      </w:r>
      <w:r w:rsidR="00A85A91" w:rsidRPr="00F50327">
        <w:rPr>
          <w:rFonts w:ascii="Arial" w:hAnsi="Arial" w:cs="Arial"/>
          <w:sz w:val="24"/>
          <w:szCs w:val="24"/>
        </w:rPr>
        <w:lastRenderedPageBreak/>
        <w:t xml:space="preserve">yönlendiricidir ve pazarlar yeni Pazar yapılarıyla ve küresel endüstri ortaklıklarıyla </w:t>
      </w:r>
      <w:r w:rsidR="00F50327" w:rsidRPr="00F50327">
        <w:rPr>
          <w:rFonts w:ascii="Arial" w:hAnsi="Arial" w:cs="Arial"/>
          <w:sz w:val="24"/>
          <w:szCs w:val="24"/>
        </w:rPr>
        <w:t>küresel</w:t>
      </w:r>
      <w:r w:rsidR="00A85A91" w:rsidRPr="00F50327">
        <w:rPr>
          <w:rFonts w:ascii="Arial" w:hAnsi="Arial" w:cs="Arial"/>
          <w:sz w:val="24"/>
          <w:szCs w:val="24"/>
        </w:rPr>
        <w:t xml:space="preserve"> hale gelmektedir. Sonuç olarak </w:t>
      </w:r>
      <w:proofErr w:type="gramStart"/>
      <w:r w:rsidR="00A85A91" w:rsidRPr="00F50327">
        <w:rPr>
          <w:rFonts w:ascii="Arial" w:hAnsi="Arial" w:cs="Arial"/>
          <w:sz w:val="24"/>
          <w:szCs w:val="24"/>
        </w:rPr>
        <w:t>konsorsiyumlar</w:t>
      </w:r>
      <w:proofErr w:type="gramEnd"/>
      <w:r w:rsidR="00A85A91" w:rsidRPr="00F50327">
        <w:rPr>
          <w:rFonts w:ascii="Arial" w:hAnsi="Arial" w:cs="Arial"/>
          <w:sz w:val="24"/>
          <w:szCs w:val="24"/>
        </w:rPr>
        <w:t xml:space="preserve"> ve foralar standartların geliştirilmesinde önemli rol oynamaktadırlar, </w:t>
      </w:r>
      <w:r w:rsidR="00D02A85" w:rsidRPr="00F50327">
        <w:rPr>
          <w:rFonts w:ascii="Arial" w:hAnsi="Arial" w:cs="Arial"/>
          <w:sz w:val="24"/>
          <w:szCs w:val="24"/>
        </w:rPr>
        <w:t>ASK</w:t>
      </w:r>
      <w:r w:rsidR="00A85A91" w:rsidRPr="00F50327">
        <w:rPr>
          <w:rFonts w:ascii="Arial" w:hAnsi="Arial" w:cs="Arial"/>
          <w:sz w:val="24"/>
          <w:szCs w:val="24"/>
        </w:rPr>
        <w:t>’ların rollerini ve yapılarını zorlaştırmanın yanı sıra kamu otoritelerine AB düzeyinde aracılık ederler. ICT sektöründeki standardizasyonun yasamaya olan desteği gözden geçirilmelidir.</w:t>
      </w:r>
    </w:p>
    <w:p w:rsidR="00F50327" w:rsidRPr="00F50327" w:rsidRDefault="00F50327" w:rsidP="00F50327">
      <w:pPr>
        <w:shd w:val="clear" w:color="auto" w:fill="FFFFFF"/>
        <w:spacing w:line="360" w:lineRule="auto"/>
        <w:jc w:val="both"/>
        <w:rPr>
          <w:rFonts w:ascii="Arial" w:hAnsi="Arial" w:cs="Arial"/>
          <w:sz w:val="24"/>
          <w:szCs w:val="24"/>
        </w:rPr>
      </w:pPr>
    </w:p>
    <w:p w:rsidR="00A85A91" w:rsidRDefault="00A85A91" w:rsidP="00F50327">
      <w:pPr>
        <w:shd w:val="clear" w:color="auto" w:fill="FFFFFF"/>
        <w:spacing w:line="360" w:lineRule="auto"/>
        <w:ind w:right="24"/>
        <w:jc w:val="both"/>
        <w:rPr>
          <w:rFonts w:ascii="Arial" w:hAnsi="Arial" w:cs="Arial"/>
          <w:sz w:val="24"/>
          <w:szCs w:val="24"/>
        </w:rPr>
      </w:pPr>
      <w:r w:rsidRPr="00F50327">
        <w:rPr>
          <w:rFonts w:ascii="Arial" w:hAnsi="Arial" w:cs="Arial"/>
          <w:sz w:val="24"/>
          <w:szCs w:val="24"/>
        </w:rPr>
        <w:t>Avrupa standardizasyon politikası</w:t>
      </w:r>
      <w:r w:rsidR="00F37053" w:rsidRPr="00F50327">
        <w:rPr>
          <w:rFonts w:ascii="Arial" w:hAnsi="Arial" w:cs="Arial"/>
          <w:sz w:val="24"/>
          <w:szCs w:val="24"/>
        </w:rPr>
        <w:t xml:space="preserve"> Avrupa Standart Kurumlarında olduğu gibi bu gerçeklerin farkına varmalı ve politikalarını, süreçlerini ve kurumsal yapısını değişen Pazar ihtiyaçlarına daha iyi cevap verebilmekiçin paydaşlar ve ilgili endüstrilerle yakın işbirliği içerisinde yeniden tasarlamalıdır.</w:t>
      </w:r>
    </w:p>
    <w:p w:rsidR="00F50327" w:rsidRPr="00F50327" w:rsidRDefault="00F50327" w:rsidP="00F50327">
      <w:pPr>
        <w:shd w:val="clear" w:color="auto" w:fill="FFFFFF"/>
        <w:spacing w:line="360" w:lineRule="auto"/>
        <w:ind w:right="24"/>
        <w:jc w:val="both"/>
        <w:rPr>
          <w:rFonts w:ascii="Arial" w:hAnsi="Arial" w:cs="Arial"/>
          <w:sz w:val="24"/>
          <w:szCs w:val="24"/>
        </w:rPr>
      </w:pPr>
    </w:p>
    <w:p w:rsidR="00F37053" w:rsidRDefault="00F37053" w:rsidP="00F50327">
      <w:pPr>
        <w:shd w:val="clear" w:color="auto" w:fill="FFFFFF"/>
        <w:spacing w:line="360" w:lineRule="auto"/>
        <w:ind w:right="24"/>
        <w:jc w:val="both"/>
        <w:rPr>
          <w:rFonts w:ascii="Arial" w:hAnsi="Arial" w:cs="Arial"/>
          <w:b/>
          <w:sz w:val="24"/>
          <w:szCs w:val="24"/>
        </w:rPr>
      </w:pPr>
      <w:r w:rsidRPr="00F50327">
        <w:rPr>
          <w:rFonts w:ascii="Arial" w:hAnsi="Arial" w:cs="Arial"/>
          <w:b/>
          <w:sz w:val="24"/>
          <w:szCs w:val="24"/>
        </w:rPr>
        <w:t>2.3 Toplumsal ihtiyaçlara desteği ile standardizasyon</w:t>
      </w:r>
    </w:p>
    <w:p w:rsidR="00F50327" w:rsidRPr="00F50327" w:rsidRDefault="00F50327" w:rsidP="00F50327">
      <w:pPr>
        <w:shd w:val="clear" w:color="auto" w:fill="FFFFFF"/>
        <w:spacing w:line="360" w:lineRule="auto"/>
        <w:ind w:right="24"/>
        <w:jc w:val="both"/>
        <w:rPr>
          <w:rFonts w:ascii="Arial" w:hAnsi="Arial" w:cs="Arial"/>
          <w:b/>
          <w:sz w:val="24"/>
          <w:szCs w:val="24"/>
        </w:rPr>
      </w:pPr>
    </w:p>
    <w:p w:rsidR="00F37053" w:rsidRDefault="00F37053" w:rsidP="00F50327">
      <w:pPr>
        <w:shd w:val="clear" w:color="auto" w:fill="FFFFFF"/>
        <w:tabs>
          <w:tab w:val="left" w:pos="1656"/>
        </w:tabs>
        <w:spacing w:line="360" w:lineRule="auto"/>
        <w:jc w:val="both"/>
        <w:rPr>
          <w:rFonts w:ascii="Arial" w:hAnsi="Arial" w:cs="Arial"/>
          <w:b/>
          <w:sz w:val="24"/>
          <w:szCs w:val="24"/>
        </w:rPr>
      </w:pPr>
      <w:r w:rsidRPr="00F50327">
        <w:rPr>
          <w:rFonts w:ascii="Arial" w:hAnsi="Arial" w:cs="Arial"/>
          <w:b/>
          <w:sz w:val="24"/>
          <w:szCs w:val="24"/>
        </w:rPr>
        <w:t>2.3.1. Çevre</w:t>
      </w:r>
    </w:p>
    <w:p w:rsidR="00F50327" w:rsidRPr="00F50327" w:rsidRDefault="00F50327" w:rsidP="00F50327">
      <w:pPr>
        <w:shd w:val="clear" w:color="auto" w:fill="FFFFFF"/>
        <w:tabs>
          <w:tab w:val="left" w:pos="1656"/>
        </w:tabs>
        <w:spacing w:line="360" w:lineRule="auto"/>
        <w:jc w:val="both"/>
        <w:rPr>
          <w:rFonts w:ascii="Arial" w:hAnsi="Arial" w:cs="Arial"/>
          <w:b/>
          <w:sz w:val="24"/>
          <w:szCs w:val="24"/>
        </w:rPr>
      </w:pPr>
    </w:p>
    <w:p w:rsidR="00F430CB" w:rsidRDefault="00F430CB"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Tümleşik Ürün politikaları</w:t>
      </w:r>
      <w:r w:rsidR="00747599" w:rsidRPr="00F50327">
        <w:rPr>
          <w:rStyle w:val="DipnotBavurusu"/>
          <w:rFonts w:ascii="Arial" w:hAnsi="Arial" w:cs="Arial"/>
          <w:b/>
          <w:bCs/>
          <w:color w:val="000000"/>
          <w:sz w:val="24"/>
          <w:szCs w:val="24"/>
        </w:rPr>
        <w:footnoteReference w:id="14"/>
      </w:r>
      <w:r w:rsidRPr="00F50327">
        <w:rPr>
          <w:rFonts w:ascii="Arial" w:hAnsi="Arial" w:cs="Arial"/>
          <w:sz w:val="24"/>
          <w:szCs w:val="24"/>
        </w:rPr>
        <w:t xml:space="preserve"> ile ilgili iletişiminde olduğu </w:t>
      </w:r>
      <w:r w:rsidR="00F50327" w:rsidRPr="00F50327">
        <w:rPr>
          <w:rFonts w:ascii="Arial" w:hAnsi="Arial" w:cs="Arial"/>
          <w:sz w:val="24"/>
          <w:szCs w:val="24"/>
        </w:rPr>
        <w:t>gibi</w:t>
      </w:r>
      <w:r w:rsidRPr="00F50327">
        <w:rPr>
          <w:rFonts w:ascii="Arial" w:hAnsi="Arial" w:cs="Arial"/>
          <w:sz w:val="24"/>
          <w:szCs w:val="24"/>
        </w:rPr>
        <w:t xml:space="preserve"> Komisyon standartların sürdürülebilir gelişmeye, ekonomik, sosyal ve çevresel yönlerli de kapsayan yüksek potansiyel desteği olduğunu işaret etmiştir. Ayrıca standartları gelişmesinin ürünlerin tüm yaşam </w:t>
      </w:r>
      <w:r w:rsidR="00F50327" w:rsidRPr="00F50327">
        <w:rPr>
          <w:rFonts w:ascii="Arial" w:hAnsi="Arial" w:cs="Arial"/>
          <w:sz w:val="24"/>
          <w:szCs w:val="24"/>
        </w:rPr>
        <w:t>döngüsü</w:t>
      </w:r>
      <w:r w:rsidRPr="00F50327">
        <w:rPr>
          <w:rFonts w:ascii="Arial" w:hAnsi="Arial" w:cs="Arial"/>
          <w:sz w:val="24"/>
          <w:szCs w:val="24"/>
        </w:rPr>
        <w:t xml:space="preserve"> boyunca sürekli çevresel gelişimi için çerçeve belirlemede yardımcı olan araçlardan biri olarak listelemiştir. Standartçılar şimdi çevreye ö</w:t>
      </w:r>
      <w:r w:rsidR="00F50327">
        <w:rPr>
          <w:rFonts w:ascii="Arial" w:hAnsi="Arial" w:cs="Arial"/>
          <w:sz w:val="24"/>
          <w:szCs w:val="24"/>
        </w:rPr>
        <w:t>n</w:t>
      </w:r>
      <w:r w:rsidRPr="00F50327">
        <w:rPr>
          <w:rFonts w:ascii="Arial" w:hAnsi="Arial" w:cs="Arial"/>
          <w:sz w:val="24"/>
          <w:szCs w:val="24"/>
        </w:rPr>
        <w:t>e</w:t>
      </w:r>
      <w:r w:rsidR="00F50327">
        <w:rPr>
          <w:rFonts w:ascii="Arial" w:hAnsi="Arial" w:cs="Arial"/>
          <w:sz w:val="24"/>
          <w:szCs w:val="24"/>
        </w:rPr>
        <w:t>m</w:t>
      </w:r>
      <w:r w:rsidRPr="00F50327">
        <w:rPr>
          <w:rFonts w:ascii="Arial" w:hAnsi="Arial" w:cs="Arial"/>
          <w:sz w:val="24"/>
          <w:szCs w:val="24"/>
        </w:rPr>
        <w:t xml:space="preserve"> vermeleri yolunda cesaretlendiri</w:t>
      </w:r>
      <w:r w:rsidR="00F50327">
        <w:rPr>
          <w:rFonts w:ascii="Arial" w:hAnsi="Arial" w:cs="Arial"/>
          <w:sz w:val="24"/>
          <w:szCs w:val="24"/>
        </w:rPr>
        <w:t>l</w:t>
      </w:r>
      <w:r w:rsidRPr="00F50327">
        <w:rPr>
          <w:rFonts w:ascii="Arial" w:hAnsi="Arial" w:cs="Arial"/>
          <w:sz w:val="24"/>
          <w:szCs w:val="24"/>
        </w:rPr>
        <w:t xml:space="preserve">mektedirler. “ Çevresel </w:t>
      </w:r>
      <w:r w:rsidR="004D74AC" w:rsidRPr="00F50327">
        <w:rPr>
          <w:rFonts w:ascii="Arial" w:hAnsi="Arial" w:cs="Arial"/>
          <w:sz w:val="24"/>
          <w:szCs w:val="24"/>
        </w:rPr>
        <w:t>Yönlerin Standardizasyona Entegrasyonu”</w:t>
      </w:r>
      <w:r w:rsidR="00747599" w:rsidRPr="00F50327">
        <w:rPr>
          <w:rStyle w:val="DipnotBavurusu"/>
          <w:rFonts w:ascii="Arial" w:hAnsi="Arial" w:cs="Arial"/>
          <w:b/>
          <w:bCs/>
          <w:color w:val="000000"/>
          <w:spacing w:val="-1"/>
          <w:sz w:val="24"/>
          <w:szCs w:val="24"/>
        </w:rPr>
        <w:t xml:space="preserve"> </w:t>
      </w:r>
      <w:r w:rsidR="00747599" w:rsidRPr="00F50327">
        <w:rPr>
          <w:rStyle w:val="DipnotBavurusu"/>
          <w:rFonts w:ascii="Arial" w:hAnsi="Arial" w:cs="Arial"/>
          <w:b/>
          <w:bCs/>
          <w:color w:val="000000"/>
          <w:spacing w:val="-1"/>
          <w:sz w:val="24"/>
          <w:szCs w:val="24"/>
        </w:rPr>
        <w:footnoteReference w:id="15"/>
      </w:r>
      <w:r w:rsidR="004D74AC" w:rsidRPr="00F50327">
        <w:rPr>
          <w:rFonts w:ascii="Arial" w:hAnsi="Arial" w:cs="Arial"/>
          <w:sz w:val="24"/>
          <w:szCs w:val="24"/>
        </w:rPr>
        <w:t xml:space="preserve"> </w:t>
      </w:r>
      <w:r w:rsidRPr="00F50327">
        <w:rPr>
          <w:rFonts w:ascii="Arial" w:hAnsi="Arial" w:cs="Arial"/>
          <w:sz w:val="24"/>
          <w:szCs w:val="24"/>
        </w:rPr>
        <w:t xml:space="preserve">iletişimine göre </w:t>
      </w:r>
      <w:r w:rsidR="004D74AC" w:rsidRPr="00F50327">
        <w:rPr>
          <w:rFonts w:ascii="Arial" w:hAnsi="Arial" w:cs="Arial"/>
          <w:sz w:val="24"/>
          <w:szCs w:val="24"/>
        </w:rPr>
        <w:t xml:space="preserve">Komisyon, ana mesaj olarak standardizasyondaki tüm paydaşları çevresel korumayı standardizasyon içine </w:t>
      </w:r>
      <w:proofErr w:type="gramStart"/>
      <w:r w:rsidR="004D74AC" w:rsidRPr="00F50327">
        <w:rPr>
          <w:rFonts w:ascii="Arial" w:hAnsi="Arial" w:cs="Arial"/>
          <w:sz w:val="24"/>
          <w:szCs w:val="24"/>
        </w:rPr>
        <w:t>entegre</w:t>
      </w:r>
      <w:proofErr w:type="gramEnd"/>
      <w:r w:rsidR="004D74AC" w:rsidRPr="00F50327">
        <w:rPr>
          <w:rFonts w:ascii="Arial" w:hAnsi="Arial" w:cs="Arial"/>
          <w:sz w:val="24"/>
          <w:szCs w:val="24"/>
        </w:rPr>
        <w:t xml:space="preserve"> etmeyi hedefleyen güçlendirilebilir adımları atmalarını kuvvetle </w:t>
      </w:r>
      <w:r w:rsidR="00F50327" w:rsidRPr="00F50327">
        <w:rPr>
          <w:rFonts w:ascii="Arial" w:hAnsi="Arial" w:cs="Arial"/>
          <w:sz w:val="24"/>
          <w:szCs w:val="24"/>
        </w:rPr>
        <w:t>cesaretlendirmektedir</w:t>
      </w:r>
      <w:r w:rsidR="00747599" w:rsidRPr="00F50327">
        <w:rPr>
          <w:rStyle w:val="DipnotBavurusu"/>
          <w:rFonts w:ascii="Arial" w:hAnsi="Arial" w:cs="Arial"/>
          <w:color w:val="000000"/>
          <w:spacing w:val="-1"/>
          <w:sz w:val="24"/>
          <w:szCs w:val="24"/>
        </w:rPr>
        <w:footnoteReference w:id="16"/>
      </w:r>
      <w:r w:rsidR="00747599" w:rsidRPr="00F50327">
        <w:rPr>
          <w:rFonts w:ascii="Arial" w:hAnsi="Arial" w:cs="Arial"/>
          <w:color w:val="000000"/>
          <w:spacing w:val="-1"/>
          <w:sz w:val="24"/>
          <w:szCs w:val="24"/>
          <w:vertAlign w:val="superscript"/>
        </w:rPr>
        <w:t>17</w:t>
      </w:r>
      <w:r w:rsidR="004D74AC" w:rsidRPr="00F50327">
        <w:rPr>
          <w:rFonts w:ascii="Arial" w:hAnsi="Arial" w:cs="Arial"/>
          <w:sz w:val="24"/>
          <w:szCs w:val="24"/>
        </w:rPr>
        <w:t xml:space="preserve">. </w:t>
      </w:r>
    </w:p>
    <w:p w:rsidR="00F50327" w:rsidRDefault="00F50327" w:rsidP="00F50327">
      <w:pPr>
        <w:shd w:val="clear" w:color="auto" w:fill="FFFFFF"/>
        <w:spacing w:line="360" w:lineRule="auto"/>
        <w:ind w:right="2"/>
        <w:jc w:val="both"/>
        <w:rPr>
          <w:rFonts w:ascii="Arial" w:hAnsi="Arial" w:cs="Arial"/>
          <w:sz w:val="24"/>
          <w:szCs w:val="24"/>
        </w:rPr>
      </w:pPr>
    </w:p>
    <w:p w:rsidR="00F50327" w:rsidRDefault="00F50327" w:rsidP="00F50327">
      <w:pPr>
        <w:shd w:val="clear" w:color="auto" w:fill="FFFFFF"/>
        <w:spacing w:line="360" w:lineRule="auto"/>
        <w:ind w:right="2"/>
        <w:jc w:val="both"/>
        <w:rPr>
          <w:rFonts w:ascii="Arial" w:hAnsi="Arial" w:cs="Arial"/>
          <w:sz w:val="24"/>
          <w:szCs w:val="24"/>
        </w:rPr>
      </w:pPr>
    </w:p>
    <w:p w:rsidR="00F50327" w:rsidRPr="00F50327" w:rsidRDefault="00F50327" w:rsidP="00F50327">
      <w:pPr>
        <w:shd w:val="clear" w:color="auto" w:fill="FFFFFF"/>
        <w:spacing w:line="360" w:lineRule="auto"/>
        <w:ind w:right="2"/>
        <w:jc w:val="both"/>
        <w:rPr>
          <w:rFonts w:ascii="Arial" w:hAnsi="Arial" w:cs="Arial"/>
          <w:sz w:val="24"/>
          <w:szCs w:val="24"/>
        </w:rPr>
      </w:pPr>
    </w:p>
    <w:p w:rsidR="004D74AC" w:rsidRDefault="004D74AC" w:rsidP="00F50327">
      <w:pPr>
        <w:shd w:val="clear" w:color="auto" w:fill="FFFFFF"/>
        <w:tabs>
          <w:tab w:val="left" w:pos="1656"/>
        </w:tabs>
        <w:spacing w:line="360" w:lineRule="auto"/>
        <w:jc w:val="both"/>
        <w:rPr>
          <w:rFonts w:ascii="Arial" w:hAnsi="Arial" w:cs="Arial"/>
          <w:b/>
          <w:sz w:val="24"/>
          <w:szCs w:val="24"/>
        </w:rPr>
      </w:pPr>
      <w:r w:rsidRPr="00F50327">
        <w:rPr>
          <w:rFonts w:ascii="Arial" w:hAnsi="Arial" w:cs="Arial"/>
          <w:b/>
          <w:sz w:val="24"/>
          <w:szCs w:val="24"/>
        </w:rPr>
        <w:lastRenderedPageBreak/>
        <w:t>2.3.2 Tümüne Erişebilirlik</w:t>
      </w:r>
    </w:p>
    <w:p w:rsidR="00F50327" w:rsidRPr="00F50327" w:rsidRDefault="00F50327" w:rsidP="00F50327">
      <w:pPr>
        <w:shd w:val="clear" w:color="auto" w:fill="FFFFFF"/>
        <w:tabs>
          <w:tab w:val="left" w:pos="1656"/>
        </w:tabs>
        <w:spacing w:line="360" w:lineRule="auto"/>
        <w:jc w:val="both"/>
        <w:rPr>
          <w:rFonts w:ascii="Arial" w:hAnsi="Arial" w:cs="Arial"/>
          <w:b/>
          <w:sz w:val="24"/>
          <w:szCs w:val="24"/>
        </w:rPr>
      </w:pPr>
    </w:p>
    <w:p w:rsidR="004D74AC" w:rsidRDefault="004D74AC"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Standartlar toplumu ve ekonomiyi daha çok kapsamlı yapan önemli bir araçtır. </w:t>
      </w:r>
      <w:r w:rsidR="00F50327" w:rsidRPr="00F50327">
        <w:rPr>
          <w:rFonts w:ascii="Arial" w:hAnsi="Arial" w:cs="Arial"/>
          <w:sz w:val="24"/>
          <w:szCs w:val="24"/>
        </w:rPr>
        <w:t>Avrupa’da</w:t>
      </w:r>
      <w:r w:rsidRPr="00F50327">
        <w:rPr>
          <w:rFonts w:ascii="Arial" w:hAnsi="Arial" w:cs="Arial"/>
          <w:sz w:val="24"/>
          <w:szCs w:val="24"/>
        </w:rPr>
        <w:t xml:space="preserve"> topluluk yaşlanmaktadır. Bunun sonucu olarak yaşlı ve engelli insanların ihtiyaçlarını tatmin etmeye yönelik ürün ve hizmetler için büyüyen bir Pazar vardır. Standardizasyonun bu zorluğa karşılık verecek ve yenilikçi teknolojilerin </w:t>
      </w:r>
      <w:r w:rsidR="00F50327" w:rsidRPr="00F50327">
        <w:rPr>
          <w:rFonts w:ascii="Arial" w:hAnsi="Arial" w:cs="Arial"/>
          <w:sz w:val="24"/>
          <w:szCs w:val="24"/>
        </w:rPr>
        <w:t>girişine hepsine</w:t>
      </w:r>
      <w:r w:rsidRPr="00F50327">
        <w:rPr>
          <w:rFonts w:ascii="Arial" w:hAnsi="Arial" w:cs="Arial"/>
          <w:sz w:val="24"/>
          <w:szCs w:val="24"/>
        </w:rPr>
        <w:t xml:space="preserve"> erişimi garanti ederek zemin hazırlamaya potansiyeli vardır. Ancak bu durum bu süreçte yer alan tüm paydaşların kuvvetli yükümlülüklerini gerektirmektedir.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4D74AC" w:rsidRDefault="004D74AC" w:rsidP="00F50327">
      <w:pPr>
        <w:shd w:val="clear" w:color="auto" w:fill="FFFFFF"/>
        <w:tabs>
          <w:tab w:val="left" w:pos="1656"/>
        </w:tabs>
        <w:spacing w:line="360" w:lineRule="auto"/>
        <w:ind w:right="2"/>
        <w:jc w:val="both"/>
        <w:rPr>
          <w:rFonts w:ascii="Arial" w:hAnsi="Arial" w:cs="Arial"/>
          <w:b/>
          <w:sz w:val="24"/>
          <w:szCs w:val="24"/>
        </w:rPr>
      </w:pPr>
      <w:r w:rsidRPr="00F50327">
        <w:rPr>
          <w:rFonts w:ascii="Arial" w:hAnsi="Arial" w:cs="Arial"/>
          <w:b/>
          <w:sz w:val="24"/>
          <w:szCs w:val="24"/>
        </w:rPr>
        <w:t>2.3.3 Güvenlik</w:t>
      </w:r>
    </w:p>
    <w:p w:rsidR="00F50327" w:rsidRPr="00F50327" w:rsidRDefault="00F50327" w:rsidP="00F50327">
      <w:pPr>
        <w:shd w:val="clear" w:color="auto" w:fill="FFFFFF"/>
        <w:tabs>
          <w:tab w:val="left" w:pos="1656"/>
        </w:tabs>
        <w:spacing w:line="360" w:lineRule="auto"/>
        <w:ind w:right="2"/>
        <w:jc w:val="both"/>
        <w:rPr>
          <w:rFonts w:ascii="Arial" w:hAnsi="Arial" w:cs="Arial"/>
          <w:b/>
          <w:sz w:val="24"/>
          <w:szCs w:val="24"/>
        </w:rPr>
      </w:pPr>
    </w:p>
    <w:p w:rsidR="004D74AC" w:rsidRDefault="004D74AC"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Standardizasyon terörizme karşı güvenlik savaşı ve </w:t>
      </w:r>
      <w:r w:rsidR="006E087F" w:rsidRPr="00F50327">
        <w:rPr>
          <w:rFonts w:ascii="Arial" w:hAnsi="Arial" w:cs="Arial"/>
          <w:sz w:val="24"/>
          <w:szCs w:val="24"/>
        </w:rPr>
        <w:t xml:space="preserve">potansiyel hedefler olan </w:t>
      </w:r>
      <w:r w:rsidRPr="00F50327">
        <w:rPr>
          <w:rFonts w:ascii="Arial" w:hAnsi="Arial" w:cs="Arial"/>
          <w:sz w:val="24"/>
          <w:szCs w:val="24"/>
        </w:rPr>
        <w:t>vatandaşları</w:t>
      </w:r>
      <w:r w:rsidR="006E087F" w:rsidRPr="00F50327">
        <w:rPr>
          <w:rFonts w:ascii="Arial" w:hAnsi="Arial" w:cs="Arial"/>
          <w:sz w:val="24"/>
          <w:szCs w:val="24"/>
        </w:rPr>
        <w:t xml:space="preserve">, yapıları ve hizmetleri </w:t>
      </w:r>
      <w:r w:rsidRPr="00F50327">
        <w:rPr>
          <w:rFonts w:ascii="Arial" w:hAnsi="Arial" w:cs="Arial"/>
          <w:sz w:val="24"/>
          <w:szCs w:val="24"/>
        </w:rPr>
        <w:t>koruma</w:t>
      </w:r>
      <w:r w:rsidR="006E087F" w:rsidRPr="00F50327">
        <w:rPr>
          <w:rFonts w:ascii="Arial" w:hAnsi="Arial" w:cs="Arial"/>
          <w:sz w:val="24"/>
          <w:szCs w:val="24"/>
        </w:rPr>
        <w:t>yı hedefleyen suçun engellenmesi gibi politika kavramlarında da önemli bir rol oynamalıdır.</w:t>
      </w:r>
    </w:p>
    <w:p w:rsidR="00F50327" w:rsidRPr="00F50327" w:rsidRDefault="00F50327" w:rsidP="00F50327">
      <w:pPr>
        <w:shd w:val="clear" w:color="auto" w:fill="FFFFFF"/>
        <w:spacing w:line="360" w:lineRule="auto"/>
        <w:ind w:right="2"/>
        <w:jc w:val="both"/>
        <w:rPr>
          <w:rFonts w:ascii="Arial" w:hAnsi="Arial" w:cs="Arial"/>
          <w:sz w:val="24"/>
          <w:szCs w:val="24"/>
        </w:rPr>
      </w:pPr>
    </w:p>
    <w:p w:rsidR="006E087F" w:rsidRDefault="00C56F84" w:rsidP="00F50327">
      <w:pPr>
        <w:shd w:val="clear" w:color="auto" w:fill="FFFFFF"/>
        <w:spacing w:line="360" w:lineRule="auto"/>
        <w:ind w:right="2"/>
        <w:jc w:val="both"/>
        <w:rPr>
          <w:rFonts w:ascii="Arial" w:hAnsi="Arial" w:cs="Arial"/>
          <w:b/>
          <w:sz w:val="24"/>
          <w:szCs w:val="24"/>
        </w:rPr>
      </w:pPr>
      <w:r w:rsidRPr="00F50327">
        <w:rPr>
          <w:rFonts w:ascii="Arial" w:hAnsi="Arial" w:cs="Arial"/>
          <w:b/>
          <w:sz w:val="24"/>
          <w:szCs w:val="24"/>
        </w:rPr>
        <w:t>3</w:t>
      </w:r>
      <w:r w:rsidR="006E087F" w:rsidRPr="00F50327">
        <w:rPr>
          <w:rFonts w:ascii="Arial" w:hAnsi="Arial" w:cs="Arial"/>
          <w:b/>
          <w:sz w:val="24"/>
          <w:szCs w:val="24"/>
        </w:rPr>
        <w:t>. STANDARDİZASYONUN KÜRESEL BOYUTU</w:t>
      </w:r>
    </w:p>
    <w:p w:rsidR="00F50327" w:rsidRPr="00F50327" w:rsidRDefault="00F50327" w:rsidP="00F50327">
      <w:pPr>
        <w:shd w:val="clear" w:color="auto" w:fill="FFFFFF"/>
        <w:spacing w:line="360" w:lineRule="auto"/>
        <w:ind w:right="2"/>
        <w:jc w:val="both"/>
        <w:rPr>
          <w:rFonts w:ascii="Arial" w:hAnsi="Arial" w:cs="Arial"/>
          <w:b/>
          <w:sz w:val="24"/>
          <w:szCs w:val="24"/>
        </w:rPr>
      </w:pPr>
    </w:p>
    <w:p w:rsidR="006E087F" w:rsidRDefault="006E087F"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 xml:space="preserve">Avrupa Birliğinin bu alandaki temel uluslararası </w:t>
      </w:r>
      <w:r w:rsidR="00F50327" w:rsidRPr="00F50327">
        <w:rPr>
          <w:rFonts w:ascii="Arial" w:hAnsi="Arial" w:cs="Arial"/>
          <w:sz w:val="24"/>
          <w:szCs w:val="24"/>
        </w:rPr>
        <w:t>taahhütleri</w:t>
      </w:r>
      <w:r w:rsidRPr="00F50327">
        <w:rPr>
          <w:rFonts w:ascii="Arial" w:hAnsi="Arial" w:cs="Arial"/>
          <w:sz w:val="24"/>
          <w:szCs w:val="24"/>
        </w:rPr>
        <w:t xml:space="preserve"> </w:t>
      </w:r>
      <w:r w:rsidR="00747599" w:rsidRPr="00F50327">
        <w:rPr>
          <w:rFonts w:ascii="Arial" w:hAnsi="Arial" w:cs="Arial"/>
          <w:sz w:val="24"/>
          <w:szCs w:val="24"/>
        </w:rPr>
        <w:t>DTÖ’nü</w:t>
      </w:r>
      <w:r w:rsidRPr="00F50327">
        <w:rPr>
          <w:rFonts w:ascii="Arial" w:hAnsi="Arial" w:cs="Arial"/>
          <w:sz w:val="24"/>
          <w:szCs w:val="24"/>
        </w:rPr>
        <w:t xml:space="preserve">n Ticaretteki Teknik Bariyerler Anlaşmasında ifade dilmiştir. Bu anlaşma imza </w:t>
      </w:r>
      <w:r w:rsidR="00F50327" w:rsidRPr="00F50327">
        <w:rPr>
          <w:rFonts w:ascii="Arial" w:hAnsi="Arial" w:cs="Arial"/>
          <w:sz w:val="24"/>
          <w:szCs w:val="24"/>
        </w:rPr>
        <w:t>atan uluslararası</w:t>
      </w:r>
      <w:r w:rsidRPr="00F50327">
        <w:rPr>
          <w:rFonts w:ascii="Arial" w:hAnsi="Arial" w:cs="Arial"/>
          <w:sz w:val="24"/>
          <w:szCs w:val="24"/>
        </w:rPr>
        <w:t xml:space="preserve"> katılımcılarından teknik düzenlemelerini ve uluslararası standartlarını ayrımcı olmayan bir tarzda ve ticarete gereksiz engeller yaratmayacak biçimde geliştirmelerini ve uygulamalarını gerektirmektedir. Ayrıca uluslararası standartları mümkün olduğunca teknik düzenlemelerini hazırlarken başvurmalarını önermektedir.</w:t>
      </w:r>
    </w:p>
    <w:p w:rsidR="00F50327" w:rsidRPr="00F50327" w:rsidRDefault="00F50327" w:rsidP="00F50327">
      <w:pPr>
        <w:shd w:val="clear" w:color="auto" w:fill="FFFFFF"/>
        <w:spacing w:line="360" w:lineRule="auto"/>
        <w:ind w:right="2"/>
        <w:jc w:val="both"/>
        <w:rPr>
          <w:rFonts w:ascii="Arial" w:hAnsi="Arial" w:cs="Arial"/>
          <w:sz w:val="24"/>
          <w:szCs w:val="24"/>
        </w:rPr>
      </w:pPr>
    </w:p>
    <w:p w:rsidR="006E087F" w:rsidRPr="00F50327" w:rsidRDefault="006E087F" w:rsidP="00F50327">
      <w:pPr>
        <w:shd w:val="clear" w:color="auto" w:fill="FFFFFF"/>
        <w:spacing w:line="360" w:lineRule="auto"/>
        <w:ind w:right="2"/>
        <w:jc w:val="both"/>
        <w:rPr>
          <w:rFonts w:ascii="Arial" w:hAnsi="Arial" w:cs="Arial"/>
          <w:sz w:val="24"/>
          <w:szCs w:val="24"/>
        </w:rPr>
      </w:pPr>
      <w:r w:rsidRPr="00F50327">
        <w:rPr>
          <w:rFonts w:ascii="Arial" w:hAnsi="Arial" w:cs="Arial"/>
          <w:sz w:val="24"/>
          <w:szCs w:val="24"/>
        </w:rPr>
        <w:t>Komisyon Avrupa</w:t>
      </w:r>
      <w:r w:rsidR="00FD477A" w:rsidRPr="00F50327">
        <w:rPr>
          <w:rFonts w:ascii="Arial" w:hAnsi="Arial" w:cs="Arial"/>
          <w:sz w:val="24"/>
          <w:szCs w:val="24"/>
        </w:rPr>
        <w:t xml:space="preserve"> </w:t>
      </w:r>
      <w:r w:rsidRPr="00F50327">
        <w:rPr>
          <w:rFonts w:ascii="Arial" w:hAnsi="Arial" w:cs="Arial"/>
          <w:sz w:val="24"/>
          <w:szCs w:val="24"/>
        </w:rPr>
        <w:t>Standart</w:t>
      </w:r>
      <w:r w:rsidR="00FD477A" w:rsidRPr="00F50327">
        <w:rPr>
          <w:rFonts w:ascii="Arial" w:hAnsi="Arial" w:cs="Arial"/>
          <w:sz w:val="24"/>
          <w:szCs w:val="24"/>
        </w:rPr>
        <w:t xml:space="preserve"> </w:t>
      </w:r>
      <w:r w:rsidRPr="00F50327">
        <w:rPr>
          <w:rFonts w:ascii="Arial" w:hAnsi="Arial" w:cs="Arial"/>
          <w:sz w:val="24"/>
          <w:szCs w:val="24"/>
        </w:rPr>
        <w:t>Kurumları ile işbirliği içerisinde uluslararası standartların kullanımını teşvik etmektedir. Bu çerçevede TABD</w:t>
      </w:r>
      <w:r w:rsidR="00747599" w:rsidRPr="00F50327">
        <w:rPr>
          <w:rStyle w:val="DipnotBavurusu"/>
          <w:rFonts w:ascii="Arial" w:hAnsi="Arial" w:cs="Arial"/>
          <w:color w:val="000000"/>
          <w:spacing w:val="-1"/>
          <w:sz w:val="24"/>
          <w:szCs w:val="24"/>
        </w:rPr>
        <w:footnoteReference w:id="17"/>
      </w:r>
      <w:r w:rsidR="00F50327" w:rsidRPr="00F50327">
        <w:rPr>
          <w:rFonts w:ascii="Arial" w:hAnsi="Arial" w:cs="Arial"/>
          <w:color w:val="000000"/>
          <w:spacing w:val="-1"/>
          <w:sz w:val="24"/>
          <w:szCs w:val="24"/>
          <w:vertAlign w:val="superscript"/>
        </w:rPr>
        <w:t>18</w:t>
      </w:r>
      <w:r w:rsidR="00F50327" w:rsidRPr="00F50327">
        <w:rPr>
          <w:rFonts w:ascii="Arial" w:hAnsi="Arial" w:cs="Arial"/>
          <w:color w:val="000000"/>
          <w:spacing w:val="-1"/>
          <w:sz w:val="24"/>
          <w:szCs w:val="24"/>
        </w:rPr>
        <w:t xml:space="preserve"> </w:t>
      </w:r>
      <w:r w:rsidR="00F50327" w:rsidRPr="00F50327">
        <w:rPr>
          <w:rFonts w:ascii="Arial" w:hAnsi="Arial" w:cs="Arial"/>
          <w:sz w:val="24"/>
          <w:szCs w:val="24"/>
        </w:rPr>
        <w:t>ve</w:t>
      </w:r>
      <w:r w:rsidRPr="00F50327">
        <w:rPr>
          <w:rFonts w:ascii="Arial" w:hAnsi="Arial" w:cs="Arial"/>
          <w:sz w:val="24"/>
          <w:szCs w:val="24"/>
        </w:rPr>
        <w:t xml:space="preserve"> MEBF</w:t>
      </w:r>
      <w:r w:rsidR="00747599" w:rsidRPr="00F50327">
        <w:rPr>
          <w:rStyle w:val="DipnotBavurusu"/>
          <w:rFonts w:ascii="Arial" w:hAnsi="Arial" w:cs="Arial"/>
          <w:color w:val="000000"/>
          <w:spacing w:val="-1"/>
          <w:sz w:val="24"/>
          <w:szCs w:val="24"/>
        </w:rPr>
        <w:footnoteReference w:id="18"/>
      </w:r>
      <w:r w:rsidR="00747599" w:rsidRPr="00F50327">
        <w:rPr>
          <w:rFonts w:ascii="Arial" w:hAnsi="Arial" w:cs="Arial"/>
          <w:color w:val="000000"/>
          <w:spacing w:val="-1"/>
          <w:sz w:val="24"/>
          <w:szCs w:val="24"/>
          <w:vertAlign w:val="superscript"/>
        </w:rPr>
        <w:t>19</w:t>
      </w:r>
      <w:r w:rsidRPr="00F50327">
        <w:rPr>
          <w:rFonts w:ascii="Arial" w:hAnsi="Arial" w:cs="Arial"/>
          <w:sz w:val="24"/>
          <w:szCs w:val="24"/>
        </w:rPr>
        <w:t xml:space="preserve"> gibi iş görüşmelerine katılıp, </w:t>
      </w:r>
      <w:r w:rsidR="00FD477A" w:rsidRPr="00F50327">
        <w:rPr>
          <w:rFonts w:ascii="Arial" w:hAnsi="Arial" w:cs="Arial"/>
          <w:sz w:val="24"/>
          <w:szCs w:val="24"/>
        </w:rPr>
        <w:t xml:space="preserve">Avrupa ve Standart Kurumları arasında </w:t>
      </w:r>
      <w:r w:rsidR="00F50327" w:rsidRPr="00F50327">
        <w:rPr>
          <w:rFonts w:ascii="Arial" w:hAnsi="Arial" w:cs="Arial"/>
          <w:sz w:val="24"/>
          <w:szCs w:val="24"/>
        </w:rPr>
        <w:t>işbirliği</w:t>
      </w:r>
      <w:r w:rsidR="00FD477A" w:rsidRPr="00F50327">
        <w:rPr>
          <w:rFonts w:ascii="Arial" w:hAnsi="Arial" w:cs="Arial"/>
          <w:sz w:val="24"/>
          <w:szCs w:val="24"/>
        </w:rPr>
        <w:t xml:space="preserve"> ve ortaklık anlaşmalarına destek sağlar ve </w:t>
      </w:r>
      <w:r w:rsidRPr="00F50327">
        <w:rPr>
          <w:rFonts w:ascii="Arial" w:hAnsi="Arial" w:cs="Arial"/>
          <w:sz w:val="24"/>
          <w:szCs w:val="24"/>
        </w:rPr>
        <w:t>standartların Avrupa için Birleşmiş Milletler Ekonomik Komisyonunda olduğu gibi kavrayışlı düzenleyici modellerini teşvik eder.</w:t>
      </w:r>
      <w:r w:rsidRPr="00F50327">
        <w:rPr>
          <w:rFonts w:ascii="Arial" w:hAnsi="Arial" w:cs="Arial"/>
          <w:spacing w:val="8"/>
          <w:sz w:val="24"/>
          <w:szCs w:val="24"/>
        </w:rPr>
        <w:t xml:space="preserve"> </w:t>
      </w:r>
    </w:p>
    <w:p w:rsidR="00FD477A" w:rsidRDefault="00FD477A" w:rsidP="00F50327">
      <w:pPr>
        <w:shd w:val="clear" w:color="auto" w:fill="FFFFFF"/>
        <w:spacing w:line="360" w:lineRule="auto"/>
        <w:ind w:left="10" w:right="2"/>
        <w:jc w:val="both"/>
        <w:rPr>
          <w:rFonts w:ascii="Arial" w:hAnsi="Arial" w:cs="Arial"/>
          <w:sz w:val="24"/>
          <w:szCs w:val="24"/>
        </w:rPr>
      </w:pPr>
      <w:r w:rsidRPr="00F50327">
        <w:rPr>
          <w:rFonts w:ascii="Arial" w:hAnsi="Arial" w:cs="Arial"/>
          <w:sz w:val="24"/>
          <w:szCs w:val="24"/>
        </w:rPr>
        <w:lastRenderedPageBreak/>
        <w:t xml:space="preserve">Ancak bunu gerçekleştirebilecek konumda olmak için ve Avrupa sisteminin etkinliğini kanıtlamak için Topluluğun Avrupa düzeyinde uluslararası standartların Avrupa standartlarına Topluluk politikalarını desteklemesi için ayrıntılandırılması ve değiştirilmesini yeterli alt </w:t>
      </w:r>
      <w:r w:rsidR="00F50327" w:rsidRPr="00F50327">
        <w:rPr>
          <w:rFonts w:ascii="Arial" w:hAnsi="Arial" w:cs="Arial"/>
          <w:sz w:val="24"/>
          <w:szCs w:val="24"/>
        </w:rPr>
        <w:t>yapıyı da</w:t>
      </w:r>
      <w:r w:rsidRPr="00F50327">
        <w:rPr>
          <w:rFonts w:ascii="Arial" w:hAnsi="Arial" w:cs="Arial"/>
          <w:sz w:val="24"/>
          <w:szCs w:val="24"/>
        </w:rPr>
        <w:t xml:space="preserve"> kapsayan kuvvetli standartlar sistemine ihtiyacı vardır. </w:t>
      </w:r>
      <w:r w:rsidR="00F50327" w:rsidRPr="00F50327">
        <w:rPr>
          <w:rFonts w:ascii="Arial" w:hAnsi="Arial" w:cs="Arial"/>
          <w:sz w:val="24"/>
          <w:szCs w:val="24"/>
        </w:rPr>
        <w:t>Birçok</w:t>
      </w:r>
      <w:r w:rsidRPr="00F50327">
        <w:rPr>
          <w:rFonts w:ascii="Arial" w:hAnsi="Arial" w:cs="Arial"/>
          <w:sz w:val="24"/>
          <w:szCs w:val="24"/>
        </w:rPr>
        <w:t xml:space="preserve"> rekabet eden standardizasyon kurumlarına dayalı bu çeşitlendirici sistem hiçbir zaman bu role uyamaz. Üye ülkeler, bunların standardizasyon kurumları ve paydaşlar güçlü ve tutarlı Avrupa standardizasyon sisteminin desteklenmesine devam edilmesini önermektedir. Aynı zamanda </w:t>
      </w:r>
      <w:r w:rsidR="00764A63" w:rsidRPr="00F50327">
        <w:rPr>
          <w:rFonts w:ascii="Arial" w:hAnsi="Arial" w:cs="Arial"/>
          <w:sz w:val="24"/>
          <w:szCs w:val="24"/>
        </w:rPr>
        <w:t>Avrupa endüstrisinin ve paydaşlarının tam anlamıyla Avrupa standardizasyonuna tutunması önemlidir, böylece uluslararası standardizasyon düzeyinde itekleyici güç olabilirler.</w:t>
      </w:r>
    </w:p>
    <w:p w:rsidR="00F50327" w:rsidRPr="00F50327" w:rsidRDefault="00F50327" w:rsidP="00F50327">
      <w:pPr>
        <w:shd w:val="clear" w:color="auto" w:fill="FFFFFF"/>
        <w:spacing w:line="360" w:lineRule="auto"/>
        <w:ind w:left="10" w:right="2"/>
        <w:jc w:val="both"/>
        <w:rPr>
          <w:rFonts w:ascii="Arial" w:hAnsi="Arial" w:cs="Arial"/>
          <w:sz w:val="24"/>
          <w:szCs w:val="24"/>
        </w:rPr>
      </w:pPr>
    </w:p>
    <w:p w:rsidR="00764A63" w:rsidRDefault="00C56F84" w:rsidP="00F50327">
      <w:pPr>
        <w:shd w:val="clear" w:color="auto" w:fill="FFFFFF"/>
        <w:spacing w:line="360" w:lineRule="auto"/>
        <w:ind w:right="2"/>
        <w:jc w:val="both"/>
        <w:rPr>
          <w:rFonts w:ascii="Arial" w:hAnsi="Arial" w:cs="Arial"/>
          <w:b/>
          <w:sz w:val="24"/>
          <w:szCs w:val="24"/>
        </w:rPr>
      </w:pPr>
      <w:r w:rsidRPr="00F50327">
        <w:rPr>
          <w:rFonts w:ascii="Arial" w:hAnsi="Arial" w:cs="Arial"/>
          <w:b/>
          <w:sz w:val="24"/>
          <w:szCs w:val="24"/>
        </w:rPr>
        <w:t>4</w:t>
      </w:r>
      <w:r w:rsidR="00764A63" w:rsidRPr="00F50327">
        <w:rPr>
          <w:rFonts w:ascii="Arial" w:hAnsi="Arial" w:cs="Arial"/>
          <w:b/>
          <w:sz w:val="24"/>
          <w:szCs w:val="24"/>
        </w:rPr>
        <w:t>. Daha sonraki eylemler</w:t>
      </w:r>
      <w:r w:rsidR="006F6D24" w:rsidRPr="00F50327">
        <w:rPr>
          <w:rFonts w:ascii="Arial" w:hAnsi="Arial" w:cs="Arial"/>
          <w:b/>
          <w:sz w:val="24"/>
          <w:szCs w:val="24"/>
        </w:rPr>
        <w:t xml:space="preserve"> </w:t>
      </w:r>
      <w:r w:rsidR="00764A63" w:rsidRPr="00F50327">
        <w:rPr>
          <w:rFonts w:ascii="Arial" w:hAnsi="Arial" w:cs="Arial"/>
          <w:b/>
          <w:sz w:val="24"/>
          <w:szCs w:val="24"/>
        </w:rPr>
        <w:t>için öneriler</w:t>
      </w:r>
    </w:p>
    <w:p w:rsidR="00F50327" w:rsidRPr="00F50327" w:rsidRDefault="00F50327" w:rsidP="00F50327">
      <w:pPr>
        <w:shd w:val="clear" w:color="auto" w:fill="FFFFFF"/>
        <w:spacing w:line="360" w:lineRule="auto"/>
        <w:ind w:right="2"/>
        <w:jc w:val="both"/>
        <w:rPr>
          <w:rFonts w:ascii="Arial" w:hAnsi="Arial" w:cs="Arial"/>
          <w:b/>
          <w:sz w:val="24"/>
          <w:szCs w:val="24"/>
        </w:rPr>
      </w:pPr>
    </w:p>
    <w:p w:rsidR="00764A63" w:rsidRDefault="006A5764" w:rsidP="00F50327">
      <w:pPr>
        <w:shd w:val="clear" w:color="auto" w:fill="FFFFFF"/>
        <w:spacing w:line="360" w:lineRule="auto"/>
        <w:ind w:left="5" w:right="2"/>
        <w:jc w:val="both"/>
        <w:rPr>
          <w:rFonts w:ascii="Arial" w:hAnsi="Arial" w:cs="Arial"/>
          <w:sz w:val="24"/>
          <w:szCs w:val="24"/>
        </w:rPr>
      </w:pPr>
      <w:r w:rsidRPr="00F50327">
        <w:rPr>
          <w:rFonts w:ascii="Arial" w:hAnsi="Arial" w:cs="Arial"/>
          <w:sz w:val="24"/>
          <w:szCs w:val="24"/>
        </w:rPr>
        <w:t xml:space="preserve">Standardizasyon üzerine üye ülkeler ve paydaşlarla yürütülen istişareler, Komisyonun standardizasyon politikası ile ilgili görüşlerini doğrulamıştır. Aynı zamanda </w:t>
      </w:r>
      <w:r w:rsidR="00E457D5" w:rsidRPr="00F50327">
        <w:rPr>
          <w:rFonts w:ascii="Arial" w:hAnsi="Arial" w:cs="Arial"/>
          <w:sz w:val="24"/>
          <w:szCs w:val="24"/>
        </w:rPr>
        <w:t>Komisyonun “Avrupa standardizasyonunun zorlukları” adlı çalışma belgesinde detaylı olarak açıklanan takip eden aktiviteler için gelişme ihtiyacının olduğunu da doğrulamışlardır. Komisyon aşağıda verilen eylemler için öneriler oluşturacaktır. Dahası Avrupa Standart Kurumlarını, üye ülkeleri ve paydaşları kendi yetkililik alanındaki bu eylemleri hayata geçirmeleri için davet etmiştir.</w:t>
      </w:r>
      <w:r w:rsidR="00F50327">
        <w:rPr>
          <w:rFonts w:ascii="Arial" w:hAnsi="Arial" w:cs="Arial"/>
          <w:sz w:val="24"/>
          <w:szCs w:val="24"/>
        </w:rPr>
        <w:t xml:space="preserve"> </w:t>
      </w:r>
      <w:r w:rsidR="00E457D5" w:rsidRPr="00F50327">
        <w:rPr>
          <w:rFonts w:ascii="Arial" w:hAnsi="Arial" w:cs="Arial"/>
          <w:sz w:val="24"/>
          <w:szCs w:val="24"/>
        </w:rPr>
        <w:t>Önerilerin uygulanması Eylem Planında yer verilecek” Komisyonun üye ülkeler ve paydaşlar ile birlikte geliştireceği daha sonraki eylemlere yol açabilir.</w:t>
      </w:r>
    </w:p>
    <w:p w:rsidR="00E457D5" w:rsidRDefault="00E457D5" w:rsidP="00F50327">
      <w:pPr>
        <w:shd w:val="clear" w:color="auto" w:fill="FFFFFF"/>
        <w:spacing w:line="360" w:lineRule="auto"/>
        <w:ind w:left="10"/>
        <w:jc w:val="both"/>
        <w:rPr>
          <w:rFonts w:ascii="Arial" w:hAnsi="Arial" w:cs="Arial"/>
          <w:sz w:val="24"/>
          <w:szCs w:val="24"/>
        </w:rPr>
      </w:pPr>
      <w:r w:rsidRPr="00F50327">
        <w:rPr>
          <w:rFonts w:ascii="Arial" w:hAnsi="Arial" w:cs="Arial"/>
          <w:sz w:val="24"/>
          <w:szCs w:val="24"/>
        </w:rPr>
        <w:t xml:space="preserve">Eylem önerileri: </w:t>
      </w:r>
    </w:p>
    <w:p w:rsidR="00F50327" w:rsidRPr="00F50327" w:rsidRDefault="00F50327" w:rsidP="00F50327">
      <w:pPr>
        <w:shd w:val="clear" w:color="auto" w:fill="FFFFFF"/>
        <w:spacing w:line="360" w:lineRule="auto"/>
        <w:ind w:left="10"/>
        <w:jc w:val="both"/>
        <w:rPr>
          <w:rFonts w:ascii="Arial" w:hAnsi="Arial" w:cs="Arial"/>
          <w:sz w:val="24"/>
          <w:szCs w:val="24"/>
        </w:rPr>
      </w:pPr>
    </w:p>
    <w:p w:rsidR="00E457D5" w:rsidRPr="00F50327" w:rsidRDefault="00E457D5" w:rsidP="00F50327">
      <w:pPr>
        <w:shd w:val="clear" w:color="auto" w:fill="FFFFFF"/>
        <w:tabs>
          <w:tab w:val="left" w:pos="859"/>
        </w:tabs>
        <w:spacing w:line="360" w:lineRule="auto"/>
        <w:ind w:left="9"/>
        <w:jc w:val="both"/>
        <w:rPr>
          <w:rFonts w:ascii="Arial" w:hAnsi="Arial" w:cs="Arial"/>
          <w:b/>
          <w:sz w:val="24"/>
          <w:szCs w:val="24"/>
        </w:rPr>
      </w:pPr>
      <w:r w:rsidRPr="00F50327">
        <w:rPr>
          <w:rFonts w:ascii="Arial" w:hAnsi="Arial" w:cs="Arial"/>
          <w:b/>
          <w:sz w:val="24"/>
          <w:szCs w:val="24"/>
        </w:rPr>
        <w:t>4.1. Avrupa standardizasyonunun Avrupa</w:t>
      </w:r>
      <w:r w:rsidR="00F50327">
        <w:rPr>
          <w:rFonts w:ascii="Arial" w:hAnsi="Arial" w:cs="Arial"/>
          <w:b/>
          <w:sz w:val="24"/>
          <w:szCs w:val="24"/>
        </w:rPr>
        <w:t xml:space="preserve"> </w:t>
      </w:r>
      <w:r w:rsidRPr="00F50327">
        <w:rPr>
          <w:rFonts w:ascii="Arial" w:hAnsi="Arial" w:cs="Arial"/>
          <w:b/>
          <w:sz w:val="24"/>
          <w:szCs w:val="24"/>
        </w:rPr>
        <w:t>politika ve yasamalarında daha etkin kullanımına devam edilmesi</w:t>
      </w:r>
    </w:p>
    <w:p w:rsidR="00E457D5" w:rsidRPr="00F50327" w:rsidRDefault="00E457D5"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 xml:space="preserve">Komisyon standartların yaygın kullanımının Avrupa yasama ve politikalarını ürünler için olan Tek Pazarın ötesinde desteklenmesini başarılı bulmuştur. Komisyon bu yaklaşımı sürdürmeyi ve standartların politikalarında yaygın olarak kullanılmasının desteklenmesini </w:t>
      </w:r>
      <w:r w:rsidR="00B911E0" w:rsidRPr="00F50327">
        <w:rPr>
          <w:rFonts w:ascii="Arial" w:hAnsi="Arial" w:cs="Arial"/>
          <w:sz w:val="24"/>
          <w:szCs w:val="24"/>
        </w:rPr>
        <w:t>üstlenmiştir.</w:t>
      </w:r>
    </w:p>
    <w:p w:rsidR="00E112ED" w:rsidRDefault="00B911E0" w:rsidP="00F50327">
      <w:pPr>
        <w:numPr>
          <w:ilvl w:val="0"/>
          <w:numId w:val="1"/>
        </w:numPr>
        <w:shd w:val="clear" w:color="auto" w:fill="FFFFFF"/>
        <w:tabs>
          <w:tab w:val="left" w:pos="859"/>
        </w:tabs>
        <w:spacing w:line="360" w:lineRule="auto"/>
        <w:ind w:left="850" w:hanging="850"/>
        <w:jc w:val="both"/>
        <w:rPr>
          <w:rFonts w:ascii="Arial" w:hAnsi="Arial" w:cs="Arial"/>
          <w:sz w:val="24"/>
          <w:szCs w:val="24"/>
        </w:rPr>
      </w:pPr>
      <w:r w:rsidRPr="00F50327">
        <w:rPr>
          <w:rFonts w:ascii="Arial" w:hAnsi="Arial" w:cs="Arial"/>
          <w:sz w:val="24"/>
          <w:szCs w:val="24"/>
        </w:rPr>
        <w:t xml:space="preserve">Bu bağlamda Üye ülke taraflarının karar vericilerinin Avrupa standardizasyonunun </w:t>
      </w:r>
      <w:r w:rsidR="00F50327">
        <w:rPr>
          <w:rFonts w:ascii="Arial" w:hAnsi="Arial" w:cs="Arial"/>
          <w:sz w:val="24"/>
          <w:szCs w:val="24"/>
        </w:rPr>
        <w:t>Topluluk yasa ve politikaların</w:t>
      </w:r>
      <w:r w:rsidRPr="00F50327">
        <w:rPr>
          <w:rFonts w:ascii="Arial" w:hAnsi="Arial" w:cs="Arial"/>
          <w:sz w:val="24"/>
          <w:szCs w:val="24"/>
        </w:rPr>
        <w:t xml:space="preserve">daki desteğinin faydaları </w:t>
      </w:r>
      <w:r w:rsidRPr="00F50327">
        <w:rPr>
          <w:rFonts w:ascii="Arial" w:hAnsi="Arial" w:cs="Arial"/>
          <w:sz w:val="24"/>
          <w:szCs w:val="24"/>
        </w:rPr>
        <w:lastRenderedPageBreak/>
        <w:t>hakkında bilgilerinin arttırılması önemlidir.</w:t>
      </w:r>
    </w:p>
    <w:p w:rsidR="00F50327" w:rsidRPr="00F50327" w:rsidRDefault="00F50327" w:rsidP="00F50327">
      <w:pPr>
        <w:shd w:val="clear" w:color="auto" w:fill="FFFFFF"/>
        <w:tabs>
          <w:tab w:val="left" w:pos="859"/>
        </w:tabs>
        <w:spacing w:line="360" w:lineRule="auto"/>
        <w:jc w:val="both"/>
        <w:rPr>
          <w:rFonts w:ascii="Arial" w:hAnsi="Arial" w:cs="Arial"/>
          <w:sz w:val="24"/>
          <w:szCs w:val="24"/>
        </w:rPr>
      </w:pPr>
    </w:p>
    <w:p w:rsidR="00E112ED" w:rsidRPr="00F50327" w:rsidRDefault="00B911E0" w:rsidP="00F50327">
      <w:pPr>
        <w:shd w:val="clear" w:color="auto" w:fill="FFFFFF"/>
        <w:tabs>
          <w:tab w:val="left" w:pos="850"/>
        </w:tabs>
        <w:spacing w:line="360" w:lineRule="auto"/>
        <w:ind w:left="859" w:hanging="850"/>
        <w:jc w:val="both"/>
        <w:rPr>
          <w:rFonts w:ascii="Arial" w:hAnsi="Arial" w:cs="Arial"/>
          <w:b/>
          <w:sz w:val="24"/>
          <w:szCs w:val="24"/>
        </w:rPr>
      </w:pPr>
      <w:r w:rsidRPr="00F50327">
        <w:rPr>
          <w:rFonts w:ascii="Arial" w:hAnsi="Arial" w:cs="Arial"/>
          <w:b/>
          <w:bCs/>
          <w:sz w:val="24"/>
          <w:szCs w:val="24"/>
        </w:rPr>
        <w:t>4</w:t>
      </w:r>
      <w:r w:rsidRPr="00F50327">
        <w:rPr>
          <w:rFonts w:ascii="Arial" w:hAnsi="Arial" w:cs="Arial"/>
          <w:b/>
          <w:sz w:val="24"/>
          <w:szCs w:val="24"/>
        </w:rPr>
        <w:t>.2 Avrupa standardizasyonunun ve kurumsal çerçevesinin verimliliğin, uyumluluğun, görünürlüğün geliştirilmesi</w:t>
      </w:r>
    </w:p>
    <w:p w:rsidR="00B911E0" w:rsidRPr="00F50327" w:rsidRDefault="00B911E0" w:rsidP="00F50327">
      <w:p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w:t>
      </w:r>
      <w:r w:rsidRPr="00F50327">
        <w:rPr>
          <w:rFonts w:ascii="Arial" w:hAnsi="Arial" w:cs="Arial"/>
          <w:sz w:val="24"/>
          <w:szCs w:val="24"/>
        </w:rPr>
        <w:tab/>
        <w:t xml:space="preserve">Verimlilik: Avrupa standartlarının mantıklı bir zaman dilimi içerisinde geliştirilmesi önemlidir. Bu çerçevede, Avrupa Standardizasyon Kurumları verimliliklerini endüstri ve düzenleyicilerin ihtiyaçları uygun bir biçimde karşılayacak biçimde geliştirmeye devam etmelidirler. Bu aynı zamanda </w:t>
      </w:r>
      <w:proofErr w:type="gramStart"/>
      <w:r w:rsidR="00F50327" w:rsidRPr="00F50327">
        <w:rPr>
          <w:rFonts w:ascii="Arial" w:hAnsi="Arial" w:cs="Arial"/>
          <w:sz w:val="24"/>
          <w:szCs w:val="24"/>
        </w:rPr>
        <w:t>konsorsiyumlar</w:t>
      </w:r>
      <w:proofErr w:type="gramEnd"/>
      <w:r w:rsidRPr="00F50327">
        <w:rPr>
          <w:rFonts w:ascii="Arial" w:hAnsi="Arial" w:cs="Arial"/>
          <w:sz w:val="24"/>
          <w:szCs w:val="24"/>
        </w:rPr>
        <w:t xml:space="preserve"> tarafından ihtiyaç duyulan pros</w:t>
      </w:r>
      <w:r w:rsidR="00CF326F" w:rsidRPr="00F50327">
        <w:rPr>
          <w:rFonts w:ascii="Arial" w:hAnsi="Arial" w:cs="Arial"/>
          <w:sz w:val="24"/>
          <w:szCs w:val="24"/>
        </w:rPr>
        <w:t>edürlerin sağlanabilirliğini ASK</w:t>
      </w:r>
      <w:r w:rsidRPr="00F50327">
        <w:rPr>
          <w:rFonts w:ascii="Arial" w:hAnsi="Arial" w:cs="Arial"/>
          <w:sz w:val="24"/>
          <w:szCs w:val="24"/>
        </w:rPr>
        <w:t xml:space="preserve">’larda daha iyi bağdaştırılmasına atıf yapmaktadır. </w:t>
      </w:r>
      <w:r w:rsidR="00D02A85" w:rsidRPr="00F50327">
        <w:rPr>
          <w:rFonts w:ascii="Arial" w:hAnsi="Arial" w:cs="Arial"/>
          <w:sz w:val="24"/>
          <w:szCs w:val="24"/>
        </w:rPr>
        <w:t>ASK</w:t>
      </w:r>
      <w:r w:rsidRPr="00F50327">
        <w:rPr>
          <w:rFonts w:ascii="Arial" w:hAnsi="Arial" w:cs="Arial"/>
          <w:sz w:val="24"/>
          <w:szCs w:val="24"/>
        </w:rPr>
        <w:t xml:space="preserve">’lar </w:t>
      </w:r>
      <w:r w:rsidR="00F50327" w:rsidRPr="00F50327">
        <w:rPr>
          <w:rFonts w:ascii="Arial" w:hAnsi="Arial" w:cs="Arial"/>
          <w:sz w:val="24"/>
          <w:szCs w:val="24"/>
        </w:rPr>
        <w:t>potansiyel</w:t>
      </w:r>
      <w:r w:rsidRPr="00F50327">
        <w:rPr>
          <w:rFonts w:ascii="Arial" w:hAnsi="Arial" w:cs="Arial"/>
          <w:sz w:val="24"/>
          <w:szCs w:val="24"/>
        </w:rPr>
        <w:t xml:space="preserve"> </w:t>
      </w:r>
      <w:proofErr w:type="gramStart"/>
      <w:r w:rsidRPr="00F50327">
        <w:rPr>
          <w:rFonts w:ascii="Arial" w:hAnsi="Arial" w:cs="Arial"/>
          <w:sz w:val="24"/>
          <w:szCs w:val="24"/>
        </w:rPr>
        <w:t>sinerjilerini</w:t>
      </w:r>
      <w:proofErr w:type="gramEnd"/>
      <w:r w:rsidRPr="00F50327">
        <w:rPr>
          <w:rFonts w:ascii="Arial" w:hAnsi="Arial" w:cs="Arial"/>
          <w:sz w:val="24"/>
          <w:szCs w:val="24"/>
        </w:rPr>
        <w:t xml:space="preserve"> işbirliğini arttırarak ve ortak ilgi alanları ile ilgili konuların koordinasyon mekanizmalarını güçlendirerek kullanmalıdırlar. </w:t>
      </w:r>
    </w:p>
    <w:p w:rsidR="00B911E0" w:rsidRPr="00F50327" w:rsidRDefault="00B911E0"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 xml:space="preserve">ICT: Komisyon üye ülkeler ve paydaşlarla birlikte standardizasyon sürecine </w:t>
      </w:r>
      <w:proofErr w:type="gramStart"/>
      <w:r w:rsidRPr="00F50327">
        <w:rPr>
          <w:rFonts w:ascii="Arial" w:hAnsi="Arial" w:cs="Arial"/>
          <w:sz w:val="24"/>
          <w:szCs w:val="24"/>
        </w:rPr>
        <w:t>dahil</w:t>
      </w:r>
      <w:proofErr w:type="gramEnd"/>
      <w:r w:rsidRPr="00F50327">
        <w:rPr>
          <w:rFonts w:ascii="Arial" w:hAnsi="Arial" w:cs="Arial"/>
          <w:sz w:val="24"/>
          <w:szCs w:val="24"/>
        </w:rPr>
        <w:t xml:space="preserve"> tüm paydaşların toplumsal ve pazar ihtiyaçları</w:t>
      </w:r>
      <w:r w:rsidR="00C1777F" w:rsidRPr="00F50327">
        <w:rPr>
          <w:rFonts w:ascii="Arial" w:hAnsi="Arial" w:cs="Arial"/>
          <w:sz w:val="24"/>
          <w:szCs w:val="24"/>
        </w:rPr>
        <w:t xml:space="preserve"> yanıtlamadaki zorluklarla ile birlikte IT sektöründeki verimli detaylı özellikleri de </w:t>
      </w:r>
      <w:r w:rsidR="003317F8" w:rsidRPr="00F50327">
        <w:rPr>
          <w:rFonts w:ascii="Arial" w:hAnsi="Arial" w:cs="Arial"/>
          <w:sz w:val="24"/>
          <w:szCs w:val="24"/>
        </w:rPr>
        <w:t>sağlamada nasıl</w:t>
      </w:r>
      <w:r w:rsidR="00C1777F" w:rsidRPr="00F50327">
        <w:rPr>
          <w:rFonts w:ascii="Arial" w:hAnsi="Arial" w:cs="Arial"/>
          <w:sz w:val="24"/>
          <w:szCs w:val="24"/>
        </w:rPr>
        <w:t xml:space="preserve"> daha iyi uyum sağlayacağını hedefleyen </w:t>
      </w:r>
      <w:r w:rsidRPr="00F50327">
        <w:rPr>
          <w:rFonts w:ascii="Arial" w:hAnsi="Arial" w:cs="Arial"/>
          <w:sz w:val="24"/>
          <w:szCs w:val="24"/>
        </w:rPr>
        <w:t xml:space="preserve">stratejik bir gözden geçirmeyi </w:t>
      </w:r>
      <w:r w:rsidR="00C1777F" w:rsidRPr="00F50327">
        <w:rPr>
          <w:rFonts w:ascii="Arial" w:hAnsi="Arial" w:cs="Arial"/>
          <w:sz w:val="24"/>
          <w:szCs w:val="24"/>
        </w:rPr>
        <w:t xml:space="preserve">başlatmak için çabalayacaktır. </w:t>
      </w:r>
    </w:p>
    <w:p w:rsidR="00C1777F" w:rsidRPr="00F50327" w:rsidRDefault="00C1777F"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Tüm ilgili paydaşları ilgilendirecek etkin katılım (</w:t>
      </w:r>
      <w:r w:rsidR="00CF326F" w:rsidRPr="00F50327">
        <w:rPr>
          <w:rFonts w:ascii="Arial" w:hAnsi="Arial" w:cs="Arial"/>
          <w:sz w:val="24"/>
          <w:szCs w:val="24"/>
        </w:rPr>
        <w:t>STK</w:t>
      </w:r>
      <w:r w:rsidRPr="00F50327">
        <w:rPr>
          <w:rFonts w:ascii="Arial" w:hAnsi="Arial" w:cs="Arial"/>
          <w:sz w:val="24"/>
          <w:szCs w:val="24"/>
        </w:rPr>
        <w:t xml:space="preserve">’lar, çevre, tüketici, </w:t>
      </w:r>
      <w:r w:rsidR="00CF326F" w:rsidRPr="00F50327">
        <w:rPr>
          <w:rFonts w:ascii="Arial" w:hAnsi="Arial" w:cs="Arial"/>
          <w:sz w:val="24"/>
          <w:szCs w:val="24"/>
        </w:rPr>
        <w:t>KOBİ</w:t>
      </w:r>
      <w:r w:rsidRPr="00F50327">
        <w:rPr>
          <w:rFonts w:ascii="Arial" w:hAnsi="Arial" w:cs="Arial"/>
          <w:sz w:val="24"/>
          <w:szCs w:val="24"/>
        </w:rPr>
        <w:t xml:space="preserve">’ler, otoriteler, </w:t>
      </w:r>
      <w:r w:rsidR="00CF326F" w:rsidRPr="00F50327">
        <w:rPr>
          <w:rFonts w:ascii="Arial" w:hAnsi="Arial" w:cs="Arial"/>
          <w:sz w:val="24"/>
          <w:szCs w:val="24"/>
        </w:rPr>
        <w:t>TTE</w:t>
      </w:r>
      <w:r w:rsidRPr="00F50327">
        <w:rPr>
          <w:rFonts w:ascii="Arial" w:hAnsi="Arial" w:cs="Arial"/>
          <w:sz w:val="24"/>
          <w:szCs w:val="24"/>
        </w:rPr>
        <w:t xml:space="preserve"> anlaşmaları uyarınca ticari temsilciler) ne </w:t>
      </w:r>
      <w:r w:rsidR="00D02A85" w:rsidRPr="00F50327">
        <w:rPr>
          <w:rFonts w:ascii="Arial" w:hAnsi="Arial" w:cs="Arial"/>
          <w:sz w:val="24"/>
          <w:szCs w:val="24"/>
        </w:rPr>
        <w:t>ASK</w:t>
      </w:r>
      <w:r w:rsidRPr="00F50327">
        <w:rPr>
          <w:rFonts w:ascii="Arial" w:hAnsi="Arial" w:cs="Arial"/>
          <w:sz w:val="24"/>
          <w:szCs w:val="24"/>
        </w:rPr>
        <w:t xml:space="preserve"> düzeyinde ne de tüm üyeülkeler içinde yeterli olarak garanti edilememektedir. Gelişmeler gereklidir. Biz ayrıca Avrupa standardizasyonu ile ilgili çabalarımızı girişimciler tarafından rekabet için stretijik araç olarak tanınması için ve iç pazardaki teknik yasama uygulamalarının tek biçim hale getirilmesi için bir adım </w:t>
      </w:r>
      <w:r w:rsidR="003317F8" w:rsidRPr="00F50327">
        <w:rPr>
          <w:rFonts w:ascii="Arial" w:hAnsi="Arial" w:cs="Arial"/>
          <w:sz w:val="24"/>
          <w:szCs w:val="24"/>
        </w:rPr>
        <w:t>fazlalaştırmalıyız</w:t>
      </w:r>
      <w:r w:rsidRPr="00F50327">
        <w:rPr>
          <w:rFonts w:ascii="Arial" w:hAnsi="Arial" w:cs="Arial"/>
          <w:sz w:val="24"/>
          <w:szCs w:val="24"/>
        </w:rPr>
        <w:t>. Bu konuda herke</w:t>
      </w:r>
      <w:r w:rsidR="003317F8">
        <w:rPr>
          <w:rFonts w:ascii="Arial" w:hAnsi="Arial" w:cs="Arial"/>
          <w:sz w:val="24"/>
          <w:szCs w:val="24"/>
        </w:rPr>
        <w:t>s</w:t>
      </w:r>
      <w:r w:rsidRPr="00F50327">
        <w:rPr>
          <w:rFonts w:ascii="Arial" w:hAnsi="Arial" w:cs="Arial"/>
          <w:sz w:val="24"/>
          <w:szCs w:val="24"/>
        </w:rPr>
        <w:t xml:space="preserve">e düşen yükümlülük tekrar harekete geçirilmelidir. </w:t>
      </w:r>
    </w:p>
    <w:p w:rsidR="00C1777F" w:rsidRDefault="00C1777F"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 xml:space="preserve">Kurumsal çerçevenin güçlendirilmesi: Kurumsal çerçeve standardizasyonun rolünü tam yerine </w:t>
      </w:r>
      <w:r w:rsidR="003317F8" w:rsidRPr="00F50327">
        <w:rPr>
          <w:rFonts w:ascii="Arial" w:hAnsi="Arial" w:cs="Arial"/>
          <w:sz w:val="24"/>
          <w:szCs w:val="24"/>
        </w:rPr>
        <w:t>getirebilmesini</w:t>
      </w:r>
      <w:r w:rsidRPr="00F50327">
        <w:rPr>
          <w:rFonts w:ascii="Arial" w:hAnsi="Arial" w:cs="Arial"/>
          <w:sz w:val="24"/>
          <w:szCs w:val="24"/>
        </w:rPr>
        <w:t xml:space="preserve"> sağlamak için yeniden düzenlenmelidir. Bu Avrupa standardizasyonunun finansmanında yasal zeminin yaratılmasını ve 98/34 sayılı Direktifte </w:t>
      </w:r>
      <w:r w:rsidR="0050577A" w:rsidRPr="00F50327">
        <w:rPr>
          <w:rFonts w:ascii="Arial" w:hAnsi="Arial" w:cs="Arial"/>
          <w:sz w:val="24"/>
          <w:szCs w:val="24"/>
        </w:rPr>
        <w:t xml:space="preserve">yer alan </w:t>
      </w:r>
      <w:r w:rsidR="003317F8" w:rsidRPr="00F50327">
        <w:rPr>
          <w:rFonts w:ascii="Arial" w:hAnsi="Arial" w:cs="Arial"/>
          <w:sz w:val="24"/>
          <w:szCs w:val="24"/>
        </w:rPr>
        <w:t>standartlar</w:t>
      </w:r>
      <w:r w:rsidR="0050577A" w:rsidRPr="00F50327">
        <w:rPr>
          <w:rFonts w:ascii="Arial" w:hAnsi="Arial" w:cs="Arial"/>
          <w:sz w:val="24"/>
          <w:szCs w:val="24"/>
        </w:rPr>
        <w:t xml:space="preserve"> ve teknik düzenlemeler alanında bilgi </w:t>
      </w:r>
      <w:proofErr w:type="gramStart"/>
      <w:r w:rsidR="0050577A" w:rsidRPr="00F50327">
        <w:rPr>
          <w:rFonts w:ascii="Arial" w:hAnsi="Arial" w:cs="Arial"/>
          <w:sz w:val="24"/>
          <w:szCs w:val="24"/>
        </w:rPr>
        <w:t>prosedürü</w:t>
      </w:r>
      <w:proofErr w:type="gramEnd"/>
      <w:r w:rsidR="0050577A" w:rsidRPr="00F50327">
        <w:rPr>
          <w:rFonts w:ascii="Arial" w:hAnsi="Arial" w:cs="Arial"/>
          <w:sz w:val="24"/>
          <w:szCs w:val="24"/>
        </w:rPr>
        <w:t xml:space="preserve"> kurma ile ilgili revizyona gidilmesini içermektedir. </w:t>
      </w:r>
    </w:p>
    <w:p w:rsidR="00F50327" w:rsidRPr="00F50327" w:rsidRDefault="00F50327" w:rsidP="00F50327">
      <w:pPr>
        <w:shd w:val="clear" w:color="auto" w:fill="FFFFFF"/>
        <w:tabs>
          <w:tab w:val="left" w:pos="850"/>
        </w:tabs>
        <w:spacing w:line="360" w:lineRule="auto"/>
        <w:jc w:val="both"/>
        <w:rPr>
          <w:rFonts w:ascii="Arial" w:hAnsi="Arial" w:cs="Arial"/>
          <w:sz w:val="24"/>
          <w:szCs w:val="24"/>
        </w:rPr>
      </w:pPr>
    </w:p>
    <w:p w:rsidR="0050577A" w:rsidRDefault="0050577A" w:rsidP="00F50327">
      <w:pPr>
        <w:shd w:val="clear" w:color="auto" w:fill="FFFFFF"/>
        <w:tabs>
          <w:tab w:val="left" w:pos="850"/>
        </w:tabs>
        <w:spacing w:line="360" w:lineRule="auto"/>
        <w:jc w:val="both"/>
        <w:rPr>
          <w:rFonts w:ascii="Arial" w:hAnsi="Arial" w:cs="Arial"/>
          <w:sz w:val="24"/>
          <w:szCs w:val="24"/>
        </w:rPr>
      </w:pPr>
      <w:r w:rsidRPr="00F50327">
        <w:rPr>
          <w:rFonts w:ascii="Arial" w:hAnsi="Arial" w:cs="Arial"/>
          <w:sz w:val="24"/>
          <w:szCs w:val="24"/>
        </w:rPr>
        <w:t xml:space="preserve">Avrupa standardizasyonunun finansal uygulanabilirliği: Avrupa standardizasyonunun </w:t>
      </w:r>
      <w:r w:rsidRPr="00F50327">
        <w:rPr>
          <w:rFonts w:ascii="Arial" w:hAnsi="Arial" w:cs="Arial"/>
          <w:sz w:val="24"/>
          <w:szCs w:val="24"/>
        </w:rPr>
        <w:lastRenderedPageBreak/>
        <w:t>finansmanı paydaşların katılımları temeline dayanmalıdır. Avrupa standardizasyonuna verilmiş Avrupa politikalarını desteklemekteki rol ile Komisyon Avrupa standardizasyon aktivitel</w:t>
      </w:r>
      <w:r w:rsidR="00F50327">
        <w:rPr>
          <w:rFonts w:ascii="Arial" w:hAnsi="Arial" w:cs="Arial"/>
          <w:sz w:val="24"/>
          <w:szCs w:val="24"/>
        </w:rPr>
        <w:t>e</w:t>
      </w:r>
      <w:r w:rsidRPr="00F50327">
        <w:rPr>
          <w:rFonts w:ascii="Arial" w:hAnsi="Arial" w:cs="Arial"/>
          <w:sz w:val="24"/>
          <w:szCs w:val="24"/>
        </w:rPr>
        <w:t xml:space="preserve">rini ve Avrupa altyapısını destekleme görevini üstlenmiştir. Üye ülkelerin Avrupa </w:t>
      </w:r>
      <w:r w:rsidR="00F50327" w:rsidRPr="00F50327">
        <w:rPr>
          <w:rFonts w:ascii="Arial" w:hAnsi="Arial" w:cs="Arial"/>
          <w:sz w:val="24"/>
          <w:szCs w:val="24"/>
        </w:rPr>
        <w:t>standardizasyon</w:t>
      </w:r>
      <w:r w:rsidRPr="00F50327">
        <w:rPr>
          <w:rFonts w:ascii="Arial" w:hAnsi="Arial" w:cs="Arial"/>
          <w:sz w:val="24"/>
          <w:szCs w:val="24"/>
        </w:rPr>
        <w:t xml:space="preserve"> sisteminin finansal yaşayabilirliği ile ilgili yan sorumluluklarının olduğu var sayılmaktadır. CEN/CENELEC’in merkezi yapısının finansmanı, AB katılımına ve Ulusal Standardizasyon kurumlarının yıl</w:t>
      </w:r>
      <w:r w:rsidR="00F50327">
        <w:rPr>
          <w:rFonts w:ascii="Arial" w:hAnsi="Arial" w:cs="Arial"/>
          <w:sz w:val="24"/>
          <w:szCs w:val="24"/>
        </w:rPr>
        <w:t>lık katılımlarına bağlı olması d</w:t>
      </w:r>
      <w:r w:rsidRPr="00F50327">
        <w:rPr>
          <w:rFonts w:ascii="Arial" w:hAnsi="Arial" w:cs="Arial"/>
          <w:sz w:val="24"/>
          <w:szCs w:val="24"/>
        </w:rPr>
        <w:t xml:space="preserve">aha geniş bir çerçevede ele alınmalıdır. Avrupa </w:t>
      </w:r>
      <w:r w:rsidR="00F50327" w:rsidRPr="00F50327">
        <w:rPr>
          <w:rFonts w:ascii="Arial" w:hAnsi="Arial" w:cs="Arial"/>
          <w:sz w:val="24"/>
          <w:szCs w:val="24"/>
        </w:rPr>
        <w:t>faydasını</w:t>
      </w:r>
      <w:r w:rsidRPr="00F50327">
        <w:rPr>
          <w:rFonts w:ascii="Arial" w:hAnsi="Arial" w:cs="Arial"/>
          <w:sz w:val="24"/>
          <w:szCs w:val="24"/>
        </w:rPr>
        <w:t xml:space="preserve"> temsil eden güçlü ve merkezi bir altyapının kurulması gereklidir. Komisyon Avrupa standardizasyonunun </w:t>
      </w:r>
      <w:r w:rsidR="00CF326F" w:rsidRPr="00F50327">
        <w:rPr>
          <w:rFonts w:ascii="Arial" w:hAnsi="Arial" w:cs="Arial"/>
          <w:sz w:val="24"/>
          <w:szCs w:val="24"/>
        </w:rPr>
        <w:t>bu tarz</w:t>
      </w:r>
      <w:r w:rsidRPr="00F50327">
        <w:rPr>
          <w:rFonts w:ascii="Arial" w:hAnsi="Arial" w:cs="Arial"/>
          <w:sz w:val="24"/>
          <w:szCs w:val="24"/>
        </w:rPr>
        <w:t xml:space="preserve"> aktiviteleri ve ihtiyaçlarını karşılayacak şekilde Avrupa politikalarına hizmet eden bir araç olarak mali olarak desteklenmesi için yasal bir zemin oluşturmaya yönelik yasal teklif sunacaktır. </w:t>
      </w:r>
    </w:p>
    <w:p w:rsidR="00F50327" w:rsidRPr="00F50327" w:rsidRDefault="00F50327" w:rsidP="00F50327">
      <w:pPr>
        <w:shd w:val="clear" w:color="auto" w:fill="FFFFFF"/>
        <w:tabs>
          <w:tab w:val="left" w:pos="850"/>
        </w:tabs>
        <w:spacing w:line="360" w:lineRule="auto"/>
        <w:jc w:val="both"/>
        <w:rPr>
          <w:rFonts w:ascii="Arial" w:hAnsi="Arial" w:cs="Arial"/>
          <w:sz w:val="24"/>
          <w:szCs w:val="24"/>
        </w:rPr>
      </w:pPr>
    </w:p>
    <w:p w:rsidR="0050577A" w:rsidRDefault="0050577A" w:rsidP="00F50327">
      <w:pPr>
        <w:shd w:val="clear" w:color="auto" w:fill="FFFFFF"/>
        <w:spacing w:line="360" w:lineRule="auto"/>
        <w:ind w:left="10"/>
        <w:jc w:val="both"/>
        <w:rPr>
          <w:rFonts w:ascii="Arial" w:hAnsi="Arial" w:cs="Arial"/>
          <w:b/>
          <w:sz w:val="24"/>
          <w:szCs w:val="24"/>
        </w:rPr>
      </w:pPr>
      <w:r w:rsidRPr="00F50327">
        <w:rPr>
          <w:rFonts w:ascii="Arial" w:hAnsi="Arial" w:cs="Arial"/>
          <w:b/>
          <w:sz w:val="24"/>
          <w:szCs w:val="24"/>
        </w:rPr>
        <w:t>4.3 Avrupa standardizasyonu ve küreselleşmedeki zorluklar</w:t>
      </w:r>
    </w:p>
    <w:p w:rsidR="00F50327" w:rsidRPr="00F50327" w:rsidRDefault="00F50327" w:rsidP="00F50327">
      <w:pPr>
        <w:shd w:val="clear" w:color="auto" w:fill="FFFFFF"/>
        <w:spacing w:line="360" w:lineRule="auto"/>
        <w:ind w:left="10"/>
        <w:jc w:val="both"/>
        <w:rPr>
          <w:rFonts w:ascii="Arial" w:hAnsi="Arial" w:cs="Arial"/>
          <w:b/>
          <w:sz w:val="24"/>
          <w:szCs w:val="24"/>
        </w:rPr>
      </w:pPr>
    </w:p>
    <w:p w:rsidR="0050577A" w:rsidRPr="00F50327" w:rsidRDefault="0050577A"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 xml:space="preserve">Komisyon </w:t>
      </w:r>
      <w:r w:rsidR="005B5724" w:rsidRPr="00F50327">
        <w:rPr>
          <w:rFonts w:ascii="Arial" w:hAnsi="Arial" w:cs="Arial"/>
          <w:sz w:val="24"/>
          <w:szCs w:val="24"/>
        </w:rPr>
        <w:t xml:space="preserve">uluslararası standartları uluslararası standardizasyon kurumları aracılığıyla (ISO, </w:t>
      </w:r>
      <w:proofErr w:type="gramStart"/>
      <w:r w:rsidR="005B5724" w:rsidRPr="00F50327">
        <w:rPr>
          <w:rFonts w:ascii="Arial" w:hAnsi="Arial" w:cs="Arial"/>
          <w:sz w:val="24"/>
          <w:szCs w:val="24"/>
        </w:rPr>
        <w:t>IEC,ITU</w:t>
      </w:r>
      <w:proofErr w:type="gramEnd"/>
      <w:r w:rsidR="005B5724" w:rsidRPr="00F50327">
        <w:rPr>
          <w:rFonts w:ascii="Arial" w:hAnsi="Arial" w:cs="Arial"/>
          <w:sz w:val="24"/>
          <w:szCs w:val="24"/>
        </w:rPr>
        <w:t>) desteklemeye ve bunların AB’deki yer</w:t>
      </w:r>
      <w:r w:rsidR="00F50327">
        <w:rPr>
          <w:rFonts w:ascii="Arial" w:hAnsi="Arial" w:cs="Arial"/>
          <w:sz w:val="24"/>
          <w:szCs w:val="24"/>
        </w:rPr>
        <w:t xml:space="preserve"> </w:t>
      </w:r>
      <w:r w:rsidR="005B5724" w:rsidRPr="00F50327">
        <w:rPr>
          <w:rFonts w:ascii="Arial" w:hAnsi="Arial" w:cs="Arial"/>
          <w:sz w:val="24"/>
          <w:szCs w:val="24"/>
        </w:rPr>
        <w:t>değiştirmelerini desteklemeye devam edecektir.</w:t>
      </w:r>
    </w:p>
    <w:p w:rsidR="005B5724" w:rsidRPr="00F50327" w:rsidRDefault="00E62CB7"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U</w:t>
      </w:r>
      <w:r w:rsidR="005B5724" w:rsidRPr="00F50327">
        <w:rPr>
          <w:rFonts w:ascii="Arial" w:hAnsi="Arial" w:cs="Arial"/>
          <w:sz w:val="24"/>
          <w:szCs w:val="24"/>
        </w:rPr>
        <w:t>luslararası standartlar geliştiril</w:t>
      </w:r>
      <w:r w:rsidRPr="00F50327">
        <w:rPr>
          <w:rFonts w:ascii="Arial" w:hAnsi="Arial" w:cs="Arial"/>
          <w:sz w:val="24"/>
          <w:szCs w:val="24"/>
        </w:rPr>
        <w:t>diği</w:t>
      </w:r>
      <w:r w:rsidR="005B5724" w:rsidRPr="00F50327">
        <w:rPr>
          <w:rFonts w:ascii="Arial" w:hAnsi="Arial" w:cs="Arial"/>
          <w:sz w:val="24"/>
          <w:szCs w:val="24"/>
        </w:rPr>
        <w:t xml:space="preserve"> ve Avrupa politikalarını desteklemek için Avrupa standartlarına dönüş</w:t>
      </w:r>
      <w:r w:rsidRPr="00F50327">
        <w:rPr>
          <w:rFonts w:ascii="Arial" w:hAnsi="Arial" w:cs="Arial"/>
          <w:sz w:val="24"/>
          <w:szCs w:val="24"/>
        </w:rPr>
        <w:t>t</w:t>
      </w:r>
      <w:r w:rsidR="005B5724" w:rsidRPr="00F50327">
        <w:rPr>
          <w:rFonts w:ascii="Arial" w:hAnsi="Arial" w:cs="Arial"/>
          <w:sz w:val="24"/>
          <w:szCs w:val="24"/>
        </w:rPr>
        <w:t>ür</w:t>
      </w:r>
      <w:r w:rsidRPr="00F50327">
        <w:rPr>
          <w:rFonts w:ascii="Arial" w:hAnsi="Arial" w:cs="Arial"/>
          <w:sz w:val="24"/>
          <w:szCs w:val="24"/>
        </w:rPr>
        <w:t>üldüğü zaman</w:t>
      </w:r>
      <w:r w:rsidR="005B5724" w:rsidRPr="00F50327">
        <w:rPr>
          <w:rFonts w:ascii="Arial" w:hAnsi="Arial" w:cs="Arial"/>
          <w:sz w:val="24"/>
          <w:szCs w:val="24"/>
        </w:rPr>
        <w:t>, Avrupa standardizasyon kurumları bu standartların AB politikaları hedefleri ile tutarlı olmasını sağlamalıdırlar.</w:t>
      </w:r>
    </w:p>
    <w:p w:rsidR="005B5724" w:rsidRPr="00F50327" w:rsidRDefault="005B5724" w:rsidP="00F50327">
      <w:pPr>
        <w:numPr>
          <w:ilvl w:val="0"/>
          <w:numId w:val="1"/>
        </w:numPr>
        <w:shd w:val="clear" w:color="auto" w:fill="FFFFFF"/>
        <w:tabs>
          <w:tab w:val="left" w:pos="850"/>
        </w:tabs>
        <w:spacing w:line="360" w:lineRule="auto"/>
        <w:ind w:left="850" w:hanging="850"/>
        <w:jc w:val="both"/>
        <w:rPr>
          <w:rFonts w:ascii="Arial" w:hAnsi="Arial" w:cs="Arial"/>
          <w:sz w:val="24"/>
          <w:szCs w:val="24"/>
        </w:rPr>
      </w:pPr>
      <w:r w:rsidRPr="00F50327">
        <w:rPr>
          <w:rFonts w:ascii="Arial" w:hAnsi="Arial" w:cs="Arial"/>
          <w:sz w:val="24"/>
          <w:szCs w:val="24"/>
        </w:rPr>
        <w:t xml:space="preserve">Avrupa standardizasyonunun </w:t>
      </w:r>
      <w:r w:rsidR="002F54E5" w:rsidRPr="00F50327">
        <w:rPr>
          <w:rFonts w:ascii="Arial" w:hAnsi="Arial" w:cs="Arial"/>
          <w:sz w:val="24"/>
          <w:szCs w:val="24"/>
        </w:rPr>
        <w:t xml:space="preserve">uluslararası bağlamdaki rolü ve pazara girişi geliştirmek ve </w:t>
      </w:r>
      <w:r w:rsidR="00F50327" w:rsidRPr="00F50327">
        <w:rPr>
          <w:rFonts w:ascii="Arial" w:hAnsi="Arial" w:cs="Arial"/>
          <w:sz w:val="24"/>
          <w:szCs w:val="24"/>
        </w:rPr>
        <w:t>rekabetçilik</w:t>
      </w:r>
      <w:r w:rsidR="002F54E5" w:rsidRPr="00F50327">
        <w:rPr>
          <w:rFonts w:ascii="Arial" w:hAnsi="Arial" w:cs="Arial"/>
          <w:sz w:val="24"/>
          <w:szCs w:val="24"/>
        </w:rPr>
        <w:t xml:space="preserve"> ile ilgili başarılarının görülmesi sağlanmalıdır. Avrupa endüstrisini ve paydaşları Avrupa standartlarının uluslararası standartlar için itici güç olduğu taahhütlerini yenilemelerini teşvik etmek önemlidir. Aynı zamanda Üye ülkelerle (genişleyen AB bakışıyla) Avrupa</w:t>
      </w:r>
      <w:r w:rsidR="002D2F9F" w:rsidRPr="00F50327">
        <w:rPr>
          <w:rFonts w:ascii="Arial" w:hAnsi="Arial" w:cs="Arial"/>
          <w:sz w:val="24"/>
          <w:szCs w:val="24"/>
        </w:rPr>
        <w:t xml:space="preserve"> </w:t>
      </w:r>
      <w:r w:rsidR="002F54E5" w:rsidRPr="00F50327">
        <w:rPr>
          <w:rFonts w:ascii="Arial" w:hAnsi="Arial" w:cs="Arial"/>
          <w:sz w:val="24"/>
          <w:szCs w:val="24"/>
        </w:rPr>
        <w:t>standardizasyonu ile ilgili taahhütlerini doğrulanması</w:t>
      </w:r>
      <w:r w:rsidR="00F50327">
        <w:rPr>
          <w:rFonts w:ascii="Arial" w:hAnsi="Arial" w:cs="Arial"/>
          <w:sz w:val="24"/>
          <w:szCs w:val="24"/>
        </w:rPr>
        <w:t xml:space="preserve"> </w:t>
      </w:r>
      <w:r w:rsidR="002F54E5" w:rsidRPr="00F50327">
        <w:rPr>
          <w:rFonts w:ascii="Arial" w:hAnsi="Arial" w:cs="Arial"/>
          <w:sz w:val="24"/>
          <w:szCs w:val="24"/>
        </w:rPr>
        <w:t xml:space="preserve">da uygun olacaktır. Avrupa standart kurumları ve paydaşları da görünülürlüğü geliştirmek için somut adımlar atması teşvik edilmelidir. </w:t>
      </w:r>
    </w:p>
    <w:sectPr w:rsidR="005B5724" w:rsidRPr="00F50327" w:rsidSect="00CF326F">
      <w:pgSz w:w="11909" w:h="16834" w:code="9"/>
      <w:pgMar w:top="2268" w:right="1134" w:bottom="1134" w:left="1701" w:header="709" w:footer="70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AC" w:rsidRDefault="00D218AC">
      <w:r>
        <w:separator/>
      </w:r>
    </w:p>
  </w:endnote>
  <w:endnote w:type="continuationSeparator" w:id="0">
    <w:p w:rsidR="00D218AC" w:rsidRDefault="00D2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AC" w:rsidRDefault="00D218AC">
      <w:r>
        <w:separator/>
      </w:r>
    </w:p>
  </w:footnote>
  <w:footnote w:type="continuationSeparator" w:id="0">
    <w:p w:rsidR="00D218AC" w:rsidRDefault="00D218AC">
      <w:r>
        <w:continuationSeparator/>
      </w:r>
    </w:p>
  </w:footnote>
  <w:footnote w:id="1">
    <w:p w:rsidR="003317F8" w:rsidRPr="00401287" w:rsidRDefault="003317F8" w:rsidP="00401287">
      <w:pPr>
        <w:pStyle w:val="DipnotMetni"/>
        <w:rPr>
          <w:rFonts w:ascii="Arial" w:hAnsi="Arial" w:cs="Arial"/>
        </w:rPr>
      </w:pPr>
      <w:r w:rsidRPr="00401287">
        <w:rPr>
          <w:rStyle w:val="DipnotBavurusu"/>
          <w:rFonts w:ascii="Arial" w:hAnsi="Arial" w:cs="Arial"/>
        </w:rPr>
        <w:footnoteRef/>
      </w:r>
      <w:r>
        <w:rPr>
          <w:rFonts w:ascii="Arial" w:hAnsi="Arial" w:cs="Arial"/>
        </w:rPr>
        <w:t xml:space="preserve"> 28-05-1999</w:t>
      </w:r>
      <w:r w:rsidRPr="00401287">
        <w:rPr>
          <w:rFonts w:ascii="Arial" w:hAnsi="Arial" w:cs="Arial"/>
        </w:rPr>
        <w:t xml:space="preserve"> tarihli standardizasyon üzerine Konsey kararı</w:t>
      </w:r>
    </w:p>
  </w:footnote>
  <w:footnote w:id="2">
    <w:p w:rsidR="003317F8" w:rsidRDefault="003317F8" w:rsidP="00401287">
      <w:pPr>
        <w:shd w:val="clear" w:color="auto" w:fill="FFFFFF"/>
        <w:rPr>
          <w:rFonts w:ascii="Arial" w:hAnsi="Arial" w:cs="Arial"/>
        </w:rPr>
      </w:pPr>
      <w:r w:rsidRPr="00401287">
        <w:rPr>
          <w:rFonts w:ascii="Arial" w:hAnsi="Arial" w:cs="Arial"/>
          <w:color w:val="000000"/>
          <w:spacing w:val="1"/>
          <w:lang w:val="en-US"/>
        </w:rPr>
        <w:footnoteRef/>
      </w:r>
      <w:r w:rsidRPr="00401287">
        <w:rPr>
          <w:rFonts w:ascii="Arial" w:hAnsi="Arial" w:cs="Arial"/>
          <w:color w:val="000000"/>
          <w:spacing w:val="1"/>
        </w:rPr>
        <w:t xml:space="preserve"> </w:t>
      </w:r>
      <w:r>
        <w:rPr>
          <w:rFonts w:ascii="Arial" w:hAnsi="Arial" w:cs="Arial"/>
          <w:color w:val="000000"/>
          <w:spacing w:val="1"/>
        </w:rPr>
        <w:t>28</w:t>
      </w:r>
      <w:r>
        <w:rPr>
          <w:rFonts w:ascii="Arial" w:hAnsi="Arial" w:cs="Arial"/>
        </w:rPr>
        <w:t>-10-1999</w:t>
      </w:r>
      <w:r w:rsidRPr="00401287">
        <w:rPr>
          <w:rFonts w:ascii="Arial" w:hAnsi="Arial" w:cs="Arial"/>
        </w:rPr>
        <w:t xml:space="preserve"> tarihli standardizasyon üzerine Konsey kararı</w:t>
      </w:r>
    </w:p>
    <w:p w:rsidR="003317F8" w:rsidRPr="00401287" w:rsidRDefault="003317F8" w:rsidP="00401287">
      <w:pPr>
        <w:shd w:val="clear" w:color="auto" w:fill="FFFFFF"/>
        <w:rPr>
          <w:rFonts w:ascii="Arial" w:hAnsi="Arial" w:cs="Arial"/>
          <w:color w:val="000000"/>
          <w:spacing w:val="1"/>
          <w:sz w:val="24"/>
          <w:szCs w:val="24"/>
        </w:rPr>
      </w:pPr>
    </w:p>
  </w:footnote>
  <w:footnote w:id="3">
    <w:p w:rsidR="003317F8" w:rsidRPr="00C56F84" w:rsidRDefault="003317F8" w:rsidP="00401287">
      <w:pPr>
        <w:shd w:val="clear" w:color="auto" w:fill="FFFFFF"/>
        <w:ind w:right="765"/>
        <w:jc w:val="both"/>
        <w:rPr>
          <w:rFonts w:ascii="Arial" w:hAnsi="Arial" w:cs="Arial"/>
          <w:color w:val="000000"/>
          <w:sz w:val="24"/>
          <w:szCs w:val="24"/>
          <w:u w:val="single"/>
        </w:rPr>
      </w:pPr>
      <w:r w:rsidRPr="00401287">
        <w:rPr>
          <w:rStyle w:val="DipnotBavurusu"/>
          <w:rFonts w:ascii="Arial" w:hAnsi="Arial" w:cs="Arial"/>
        </w:rPr>
        <w:footnoteRef/>
      </w:r>
      <w:r w:rsidRPr="00401287">
        <w:rPr>
          <w:rFonts w:ascii="Arial" w:hAnsi="Arial" w:cs="Arial"/>
        </w:rPr>
        <w:t xml:space="preserve"> </w:t>
      </w:r>
      <w:r>
        <w:rPr>
          <w:rFonts w:ascii="Arial" w:hAnsi="Arial" w:cs="Arial"/>
        </w:rPr>
        <w:t>2002-03-01 tarihli standardizasyon ile ilgili Konsey sonuçları</w:t>
      </w:r>
    </w:p>
    <w:p w:rsidR="003317F8" w:rsidRDefault="003317F8" w:rsidP="00D02A85">
      <w:pPr>
        <w:pStyle w:val="DipnotMetni"/>
      </w:pPr>
    </w:p>
  </w:footnote>
  <w:footnote w:id="4">
    <w:p w:rsidR="003317F8" w:rsidRDefault="003317F8" w:rsidP="00401287">
      <w:pPr>
        <w:pStyle w:val="DipnotMetni"/>
      </w:pPr>
      <w:r>
        <w:rPr>
          <w:rStyle w:val="DipnotBavurusu"/>
        </w:rPr>
        <w:footnoteRef/>
      </w:r>
      <w:r>
        <w:t xml:space="preserve"> </w:t>
      </w:r>
      <w:r w:rsidRPr="00401287">
        <w:rPr>
          <w:rFonts w:ascii="Arial" w:hAnsi="Arial" w:cs="Arial"/>
        </w:rPr>
        <w:t xml:space="preserve">98/34 sayılı Avrupa Parlementosu ve Konseyi Direktifi bilgi hizmetleri için teknik standartlar ve düzenlemeler alanındaki bilginin temini ile ilgili </w:t>
      </w:r>
      <w:proofErr w:type="gramStart"/>
      <w:r w:rsidRPr="00401287">
        <w:rPr>
          <w:rFonts w:ascii="Arial" w:hAnsi="Arial" w:cs="Arial"/>
        </w:rPr>
        <w:t>prosedürü</w:t>
      </w:r>
      <w:proofErr w:type="gramEnd"/>
      <w:r w:rsidRPr="00401287">
        <w:rPr>
          <w:rFonts w:ascii="Arial" w:hAnsi="Arial" w:cs="Arial"/>
        </w:rPr>
        <w:t xml:space="preserve"> ortaya koymuştur. 21.7.1998 tarihli ve OJ L 204 sayılı, düzeltmesi 98/48 sayılı Avrupa Parlementosu ve Konseyi Direktifi 5.8.1998 tarihli ve OJ L 217 sayılı.</w:t>
      </w:r>
    </w:p>
  </w:footnote>
  <w:footnote w:id="5">
    <w:p w:rsidR="003317F8" w:rsidRPr="00401287" w:rsidRDefault="003317F8" w:rsidP="00401287">
      <w:pPr>
        <w:shd w:val="clear" w:color="auto" w:fill="FFFFFF"/>
        <w:spacing w:before="240" w:after="240"/>
        <w:jc w:val="both"/>
        <w:rPr>
          <w:rFonts w:ascii="Arial" w:hAnsi="Arial" w:cs="Arial"/>
          <w:sz w:val="24"/>
          <w:szCs w:val="24"/>
        </w:rPr>
      </w:pPr>
      <w:r w:rsidRPr="00401287">
        <w:rPr>
          <w:rStyle w:val="DipnotBavurusu"/>
          <w:rFonts w:ascii="Arial" w:hAnsi="Arial" w:cs="Arial"/>
        </w:rPr>
        <w:footnoteRef/>
      </w:r>
      <w:r w:rsidRPr="00401287">
        <w:rPr>
          <w:rFonts w:ascii="Arial" w:hAnsi="Arial" w:cs="Arial"/>
        </w:rPr>
        <w:t xml:space="preserve"> Bakınız “Avrupa standardizasyonundaki güçlükler” adlı Komisyon çalışma </w:t>
      </w:r>
      <w:proofErr w:type="gramStart"/>
      <w:r w:rsidRPr="00401287">
        <w:rPr>
          <w:rFonts w:ascii="Arial" w:hAnsi="Arial" w:cs="Arial"/>
        </w:rPr>
        <w:t>kağıdı</w:t>
      </w:r>
      <w:proofErr w:type="gramEnd"/>
      <w:r w:rsidRPr="00401287">
        <w:rPr>
          <w:rFonts w:ascii="Arial" w:hAnsi="Arial" w:cs="Arial"/>
        </w:rPr>
        <w:t xml:space="preserve"> </w:t>
      </w:r>
      <w:hyperlink r:id="rId1" w:history="1">
        <w:r w:rsidRPr="00401287">
          <w:rPr>
            <w:rFonts w:ascii="Arial" w:hAnsi="Arial" w:cs="Arial"/>
            <w:u w:val="single"/>
          </w:rPr>
          <w:t>http://europa.eu.int/comm/enterprise/standards_policy/index.htm</w:t>
        </w:r>
      </w:hyperlink>
      <w:r w:rsidRPr="00401287">
        <w:rPr>
          <w:rFonts w:ascii="Arial" w:hAnsi="Arial" w:cs="Arial"/>
          <w:sz w:val="24"/>
          <w:szCs w:val="24"/>
        </w:rPr>
        <w:t xml:space="preserve"> </w:t>
      </w:r>
    </w:p>
    <w:p w:rsidR="003317F8" w:rsidRDefault="003317F8" w:rsidP="00D02A85">
      <w:pPr>
        <w:pStyle w:val="DipnotMetni"/>
      </w:pPr>
    </w:p>
  </w:footnote>
  <w:footnote w:id="6">
    <w:p w:rsidR="003317F8" w:rsidRPr="00401287" w:rsidRDefault="003317F8" w:rsidP="00747599">
      <w:pPr>
        <w:pStyle w:val="DipnotMetni"/>
        <w:rPr>
          <w:rFonts w:ascii="Arial" w:hAnsi="Arial" w:cs="Arial"/>
        </w:rPr>
      </w:pPr>
      <w:r w:rsidRPr="00401287">
        <w:rPr>
          <w:rStyle w:val="DipnotBavurusu"/>
          <w:rFonts w:ascii="Arial" w:hAnsi="Arial" w:cs="Arial"/>
        </w:rPr>
        <w:footnoteRef/>
      </w:r>
      <w:r w:rsidRPr="00401287">
        <w:rPr>
          <w:rFonts w:ascii="Arial" w:hAnsi="Arial" w:cs="Arial"/>
        </w:rPr>
        <w:t xml:space="preserve"> </w:t>
      </w:r>
      <w:proofErr w:type="gramStart"/>
      <w:r w:rsidRPr="00401287">
        <w:rPr>
          <w:rFonts w:ascii="Arial" w:hAnsi="Arial" w:cs="Arial"/>
          <w:color w:val="000000"/>
        </w:rPr>
        <w:t>daha</w:t>
      </w:r>
      <w:proofErr w:type="gramEnd"/>
      <w:r w:rsidRPr="00401287">
        <w:rPr>
          <w:rFonts w:ascii="Arial" w:hAnsi="Arial" w:cs="Arial"/>
          <w:color w:val="000000"/>
        </w:rPr>
        <w:t xml:space="preserve"> fazla bilgi için, bknz COM (2001) 527 final, s. 9 ff</w:t>
      </w:r>
    </w:p>
  </w:footnote>
  <w:footnote w:id="7">
    <w:p w:rsidR="003317F8" w:rsidRDefault="003317F8" w:rsidP="00747599">
      <w:pPr>
        <w:pStyle w:val="DipnotMetni"/>
      </w:pPr>
      <w:r w:rsidRPr="00401287">
        <w:rPr>
          <w:rStyle w:val="DipnotBavurusu"/>
          <w:rFonts w:ascii="Arial" w:hAnsi="Arial" w:cs="Arial"/>
        </w:rPr>
        <w:footnoteRef/>
      </w:r>
      <w:r w:rsidRPr="00401287">
        <w:rPr>
          <w:rFonts w:ascii="Arial" w:hAnsi="Arial" w:cs="Arial"/>
        </w:rPr>
        <w:t xml:space="preserve"> </w:t>
      </w:r>
      <w:proofErr w:type="gramStart"/>
      <w:r w:rsidRPr="00401287">
        <w:rPr>
          <w:rFonts w:ascii="Arial" w:hAnsi="Arial" w:cs="Arial"/>
          <w:color w:val="000000"/>
        </w:rPr>
        <w:t>daha</w:t>
      </w:r>
      <w:proofErr w:type="gramEnd"/>
      <w:r w:rsidRPr="00401287">
        <w:rPr>
          <w:rFonts w:ascii="Arial" w:hAnsi="Arial" w:cs="Arial"/>
          <w:color w:val="000000"/>
        </w:rPr>
        <w:t xml:space="preserve"> fazla bilgi için, bknz COM (2001) 527 final, s. 9 ff</w:t>
      </w:r>
    </w:p>
  </w:footnote>
  <w:footnote w:id="8">
    <w:p w:rsidR="003317F8" w:rsidRPr="00401287" w:rsidRDefault="003317F8" w:rsidP="00747599">
      <w:pPr>
        <w:pStyle w:val="DipnotMetni"/>
        <w:jc w:val="both"/>
        <w:rPr>
          <w:rFonts w:ascii="Arial" w:hAnsi="Arial" w:cs="Arial"/>
        </w:rPr>
      </w:pPr>
      <w:r w:rsidRPr="00401287">
        <w:rPr>
          <w:rStyle w:val="DipnotBavurusu"/>
          <w:rFonts w:ascii="Arial" w:hAnsi="Arial" w:cs="Arial"/>
        </w:rPr>
        <w:footnoteRef/>
      </w:r>
      <w:r w:rsidRPr="00401287">
        <w:rPr>
          <w:rFonts w:ascii="Arial" w:hAnsi="Arial" w:cs="Arial"/>
        </w:rPr>
        <w:t xml:space="preserve"> </w:t>
      </w:r>
      <w:r w:rsidRPr="00401287">
        <w:rPr>
          <w:rFonts w:ascii="Arial" w:hAnsi="Arial" w:cs="Arial"/>
          <w:color w:val="000000"/>
          <w:spacing w:val="1"/>
          <w:lang w:val="en-US"/>
        </w:rPr>
        <w:t xml:space="preserve">Report from the Commission on European Governance, December 2002, COM (2002) 705 final. As a </w:t>
      </w:r>
      <w:r w:rsidRPr="00401287">
        <w:rPr>
          <w:rFonts w:ascii="Arial" w:hAnsi="Arial" w:cs="Arial"/>
          <w:color w:val="000000"/>
          <w:spacing w:val="6"/>
          <w:lang w:val="en-US"/>
        </w:rPr>
        <w:t xml:space="preserve">consequence of better regulation policy, the Commission has committed itself to carry out more </w:t>
      </w:r>
      <w:r w:rsidRPr="00401287">
        <w:rPr>
          <w:rFonts w:ascii="Arial" w:hAnsi="Arial" w:cs="Arial"/>
          <w:color w:val="000000"/>
          <w:spacing w:val="1"/>
          <w:lang w:val="en-US"/>
        </w:rPr>
        <w:t xml:space="preserve">systematically an impact assessment for important legislative projects. In this context, alternatives and </w:t>
      </w:r>
      <w:r w:rsidRPr="00401287">
        <w:rPr>
          <w:rFonts w:ascii="Arial" w:hAnsi="Arial" w:cs="Arial"/>
          <w:color w:val="000000"/>
          <w:lang w:val="en-US"/>
        </w:rPr>
        <w:t xml:space="preserve">the least stringent solution must be considered. Reference to voluntary standards is one of the </w:t>
      </w:r>
      <w:proofErr w:type="gramStart"/>
      <w:r w:rsidRPr="00401287">
        <w:rPr>
          <w:rFonts w:ascii="Arial" w:hAnsi="Arial" w:cs="Arial"/>
          <w:color w:val="000000"/>
          <w:lang w:val="en-US"/>
        </w:rPr>
        <w:t>means )</w:t>
      </w:r>
      <w:proofErr w:type="gramEnd"/>
      <w:r w:rsidRPr="00401287">
        <w:rPr>
          <w:rFonts w:ascii="Arial" w:hAnsi="Arial" w:cs="Arial"/>
          <w:color w:val="000000"/>
          <w:lang w:val="en-US"/>
        </w:rPr>
        <w:t>.</w:t>
      </w:r>
    </w:p>
  </w:footnote>
  <w:footnote w:id="9">
    <w:p w:rsidR="003317F8" w:rsidRPr="00401287" w:rsidRDefault="003317F8" w:rsidP="00747599">
      <w:pPr>
        <w:pStyle w:val="DipnotMetni"/>
        <w:jc w:val="both"/>
        <w:rPr>
          <w:rFonts w:ascii="Arial" w:hAnsi="Arial" w:cs="Arial"/>
        </w:rPr>
      </w:pPr>
      <w:r w:rsidRPr="00401287">
        <w:rPr>
          <w:rStyle w:val="DipnotBavurusu"/>
          <w:rFonts w:ascii="Arial" w:hAnsi="Arial" w:cs="Arial"/>
        </w:rPr>
        <w:footnoteRef/>
      </w:r>
      <w:r w:rsidRPr="00401287">
        <w:rPr>
          <w:rFonts w:ascii="Arial" w:hAnsi="Arial" w:cs="Arial"/>
        </w:rPr>
        <w:t xml:space="preserve"> </w:t>
      </w:r>
      <w:r w:rsidRPr="00401287">
        <w:rPr>
          <w:rFonts w:ascii="Arial" w:hAnsi="Arial" w:cs="Arial"/>
          <w:color w:val="000000"/>
          <w:spacing w:val="2"/>
          <w:lang w:val="en-US"/>
        </w:rPr>
        <w:t xml:space="preserve">E.g., according to a study issued by the Austrian Standards Body ON ("Der Nutzen der Normung für </w:t>
      </w:r>
      <w:r w:rsidRPr="00401287">
        <w:rPr>
          <w:rFonts w:ascii="Arial" w:hAnsi="Arial" w:cs="Arial"/>
          <w:color w:val="000000"/>
          <w:spacing w:val="1"/>
          <w:lang w:val="en-US"/>
        </w:rPr>
        <w:t xml:space="preserve">Unternehmen und Volkswirtschaft", p. 20) In Austria, the benefit of standardisation was € 1.74 billion </w:t>
      </w:r>
      <w:r w:rsidRPr="00401287">
        <w:rPr>
          <w:rFonts w:ascii="Arial" w:hAnsi="Arial" w:cs="Arial"/>
          <w:color w:val="000000"/>
          <w:lang w:val="en-US"/>
        </w:rPr>
        <w:t>whereas the cost was € 43 million. Thus, the benefit was 40 times higher than the cost.</w:t>
      </w:r>
    </w:p>
  </w:footnote>
  <w:footnote w:id="10">
    <w:p w:rsidR="003317F8" w:rsidRPr="00401287" w:rsidRDefault="003317F8" w:rsidP="00747599">
      <w:pPr>
        <w:pStyle w:val="DipnotMetni"/>
        <w:jc w:val="both"/>
        <w:rPr>
          <w:rFonts w:ascii="Arial" w:hAnsi="Arial" w:cs="Arial"/>
        </w:rPr>
      </w:pPr>
      <w:r w:rsidRPr="00401287">
        <w:rPr>
          <w:rStyle w:val="DipnotBavurusu"/>
          <w:rFonts w:ascii="Arial" w:hAnsi="Arial" w:cs="Arial"/>
        </w:rPr>
        <w:footnoteRef/>
      </w:r>
      <w:r w:rsidRPr="00401287">
        <w:rPr>
          <w:rFonts w:ascii="Arial" w:hAnsi="Arial" w:cs="Arial"/>
        </w:rPr>
        <w:t xml:space="preserve"> </w:t>
      </w:r>
      <w:r w:rsidRPr="00401287">
        <w:rPr>
          <w:rFonts w:ascii="Arial" w:hAnsi="Arial" w:cs="Arial"/>
          <w:color w:val="000000"/>
          <w:spacing w:val="2"/>
          <w:lang w:val="en-US"/>
        </w:rPr>
        <w:t xml:space="preserve">Economic benefits of standardisation, published by DIN (German Institute for Standardisation) 2000 </w:t>
      </w:r>
      <w:r w:rsidRPr="00401287">
        <w:rPr>
          <w:rFonts w:ascii="Arial" w:hAnsi="Arial" w:cs="Arial"/>
          <w:color w:val="000000"/>
          <w:spacing w:val="6"/>
          <w:lang w:val="en-US"/>
        </w:rPr>
        <w:t>ISBN 3-410-1486-4</w:t>
      </w:r>
    </w:p>
  </w:footnote>
  <w:footnote w:id="11">
    <w:p w:rsidR="003317F8" w:rsidRDefault="003317F8" w:rsidP="00747599">
      <w:pPr>
        <w:pStyle w:val="DipnotMetni"/>
        <w:jc w:val="both"/>
      </w:pPr>
      <w:r w:rsidRPr="00401287">
        <w:rPr>
          <w:rStyle w:val="DipnotBavurusu"/>
          <w:rFonts w:ascii="Arial" w:hAnsi="Arial" w:cs="Arial"/>
        </w:rPr>
        <w:footnoteRef/>
      </w:r>
      <w:r w:rsidRPr="00401287">
        <w:rPr>
          <w:rFonts w:ascii="Arial" w:hAnsi="Arial" w:cs="Arial"/>
        </w:rPr>
        <w:t xml:space="preserve"> </w:t>
      </w:r>
      <w:r w:rsidRPr="00401287">
        <w:rPr>
          <w:rFonts w:ascii="Arial" w:hAnsi="Arial" w:cs="Arial"/>
          <w:color w:val="000000"/>
          <w:lang w:val="en-US"/>
        </w:rPr>
        <w:t>Commission Communication: Internal Market Strategy - Priorities 2003 - 2006, COM (2003) 238 final</w:t>
      </w:r>
    </w:p>
  </w:footnote>
  <w:footnote w:id="12">
    <w:p w:rsidR="003317F8" w:rsidRDefault="003317F8" w:rsidP="00747599">
      <w:pPr>
        <w:pStyle w:val="DipnotMetni"/>
        <w:jc w:val="both"/>
      </w:pPr>
      <w:r>
        <w:rPr>
          <w:rStyle w:val="DipnotBavurusu"/>
        </w:rPr>
        <w:footnoteRef/>
      </w:r>
      <w:r>
        <w:t xml:space="preserve"> </w:t>
      </w:r>
      <w:r w:rsidRPr="00747599">
        <w:rPr>
          <w:rFonts w:ascii="Arial" w:hAnsi="Arial"/>
          <w:color w:val="000000"/>
          <w:lang w:val="en-US"/>
        </w:rPr>
        <w:t>Market services comprise all services besides services by public authorities</w:t>
      </w:r>
    </w:p>
  </w:footnote>
  <w:footnote w:id="13">
    <w:p w:rsidR="003317F8" w:rsidRDefault="003317F8" w:rsidP="00747599">
      <w:pPr>
        <w:pStyle w:val="DipnotMetni"/>
      </w:pPr>
      <w:r>
        <w:rPr>
          <w:rStyle w:val="DipnotBavurusu"/>
        </w:rPr>
        <w:footnoteRef/>
      </w:r>
      <w:r>
        <w:t xml:space="preserve"> </w:t>
      </w:r>
      <w:r w:rsidRPr="00747599">
        <w:rPr>
          <w:rFonts w:ascii="Arial" w:hAnsi="Arial"/>
          <w:color w:val="000000"/>
          <w:spacing w:val="5"/>
          <w:lang w:val="en-US"/>
        </w:rPr>
        <w:t xml:space="preserve">see in this context, Standards in the Service Sectors, Fraunhofer Institute Systems and Innovation </w:t>
      </w:r>
      <w:r w:rsidRPr="00747599">
        <w:rPr>
          <w:rFonts w:ascii="Arial" w:hAnsi="Arial"/>
          <w:color w:val="000000"/>
          <w:spacing w:val="2"/>
          <w:lang w:val="en-US"/>
        </w:rPr>
        <w:t>Research, April 2003, p 1,2</w:t>
      </w:r>
    </w:p>
  </w:footnote>
  <w:footnote w:id="14">
    <w:p w:rsidR="003317F8" w:rsidRPr="00747599" w:rsidRDefault="003317F8" w:rsidP="00401287">
      <w:pPr>
        <w:pStyle w:val="DipnotMetni"/>
        <w:jc w:val="both"/>
        <w:rPr>
          <w:rFonts w:ascii="Arial" w:hAnsi="Arial" w:cs="Arial"/>
        </w:rPr>
      </w:pPr>
      <w:r w:rsidRPr="00747599">
        <w:rPr>
          <w:rStyle w:val="DipnotBavurusu"/>
          <w:rFonts w:ascii="Arial" w:hAnsi="Arial" w:cs="Arial"/>
        </w:rPr>
        <w:footnoteRef/>
      </w:r>
      <w:r w:rsidRPr="00747599">
        <w:rPr>
          <w:rFonts w:ascii="Arial" w:hAnsi="Arial" w:cs="Arial"/>
        </w:rPr>
        <w:t xml:space="preserve"> </w:t>
      </w:r>
      <w:r w:rsidRPr="00747599">
        <w:rPr>
          <w:rFonts w:ascii="Arial" w:hAnsi="Arial" w:cs="Arial"/>
          <w:color w:val="000000"/>
          <w:lang w:val="en-US"/>
        </w:rPr>
        <w:t>COM (2003) 302</w:t>
      </w:r>
    </w:p>
  </w:footnote>
  <w:footnote w:id="15">
    <w:p w:rsidR="003317F8" w:rsidRPr="00747599" w:rsidRDefault="003317F8" w:rsidP="00401287">
      <w:pPr>
        <w:pStyle w:val="DipnotMetni"/>
        <w:jc w:val="both"/>
        <w:rPr>
          <w:rFonts w:ascii="Arial" w:hAnsi="Arial" w:cs="Arial"/>
        </w:rPr>
      </w:pPr>
      <w:r w:rsidRPr="00747599">
        <w:rPr>
          <w:rStyle w:val="DipnotBavurusu"/>
          <w:rFonts w:ascii="Arial" w:hAnsi="Arial" w:cs="Arial"/>
        </w:rPr>
        <w:footnoteRef/>
      </w:r>
      <w:r w:rsidRPr="00747599">
        <w:rPr>
          <w:rFonts w:ascii="Arial" w:hAnsi="Arial" w:cs="Arial"/>
        </w:rPr>
        <w:t xml:space="preserve"> </w:t>
      </w:r>
      <w:r w:rsidRPr="00747599">
        <w:rPr>
          <w:rFonts w:ascii="Arial" w:hAnsi="Arial" w:cs="Arial"/>
          <w:color w:val="000000"/>
          <w:lang w:val="en-US"/>
        </w:rPr>
        <w:t>COM (2004) 130 final of 25 February 2004</w:t>
      </w:r>
    </w:p>
  </w:footnote>
  <w:footnote w:id="16">
    <w:p w:rsidR="003317F8" w:rsidRPr="00747599" w:rsidRDefault="003317F8" w:rsidP="00401287">
      <w:pPr>
        <w:shd w:val="clear" w:color="auto" w:fill="FFFFFF"/>
        <w:tabs>
          <w:tab w:val="left" w:pos="1541"/>
        </w:tabs>
        <w:spacing w:before="240" w:after="240"/>
        <w:ind w:right="768"/>
        <w:jc w:val="both"/>
        <w:rPr>
          <w:rFonts w:ascii="Arial" w:hAnsi="Arial" w:cs="Arial"/>
        </w:rPr>
      </w:pPr>
      <w:r w:rsidRPr="00747599">
        <w:rPr>
          <w:rStyle w:val="DipnotBavurusu"/>
          <w:rFonts w:ascii="Arial" w:hAnsi="Arial" w:cs="Arial"/>
        </w:rPr>
        <w:footnoteRef/>
      </w:r>
      <w:r w:rsidRPr="00747599">
        <w:rPr>
          <w:rFonts w:ascii="Arial" w:hAnsi="Arial" w:cs="Arial"/>
        </w:rPr>
        <w:t xml:space="preserve"> </w:t>
      </w:r>
      <w:r w:rsidRPr="00747599">
        <w:rPr>
          <w:rFonts w:ascii="Arial" w:hAnsi="Arial" w:cs="Arial"/>
          <w:color w:val="000000"/>
          <w:spacing w:val="1"/>
          <w:lang w:val="en-US"/>
        </w:rPr>
        <w:t xml:space="preserve">As a practical consequence, the Commission has issued a mandate for programming of standardization </w:t>
      </w:r>
      <w:r w:rsidRPr="00747599">
        <w:rPr>
          <w:rFonts w:ascii="Arial" w:hAnsi="Arial" w:cs="Arial"/>
          <w:color w:val="000000"/>
          <w:spacing w:val="5"/>
          <w:lang w:val="en-US"/>
        </w:rPr>
        <w:t xml:space="preserve">work in the field of eco- design of energy- using products; this mandate has been accepted by the </w:t>
      </w:r>
      <w:r w:rsidRPr="00747599">
        <w:rPr>
          <w:rFonts w:ascii="Arial" w:hAnsi="Arial" w:cs="Arial"/>
          <w:color w:val="000000"/>
          <w:lang w:val="en-US"/>
        </w:rPr>
        <w:t>European Standards Organisations and work is expected to start soon</w:t>
      </w:r>
    </w:p>
    <w:p w:rsidR="003317F8" w:rsidRDefault="003317F8" w:rsidP="00747599">
      <w:pPr>
        <w:pStyle w:val="DipnotMetni"/>
      </w:pPr>
    </w:p>
  </w:footnote>
  <w:footnote w:id="17">
    <w:p w:rsidR="003317F8" w:rsidRPr="00CF326F" w:rsidRDefault="003317F8" w:rsidP="00747599">
      <w:pPr>
        <w:pStyle w:val="DipnotMetni"/>
        <w:rPr>
          <w:rFonts w:ascii="Arial" w:hAnsi="Arial" w:cs="Arial"/>
        </w:rPr>
      </w:pPr>
      <w:r>
        <w:rPr>
          <w:rStyle w:val="DipnotBavurusu"/>
        </w:rPr>
        <w:footnoteRef/>
      </w:r>
      <w:r>
        <w:t xml:space="preserve"> </w:t>
      </w:r>
      <w:r w:rsidRPr="00CF326F">
        <w:rPr>
          <w:rFonts w:ascii="Arial" w:hAnsi="Arial" w:cs="Arial"/>
        </w:rPr>
        <w:t>Trans Atlantik Ticaret Diyaloğu</w:t>
      </w:r>
    </w:p>
  </w:footnote>
  <w:footnote w:id="18">
    <w:p w:rsidR="003317F8" w:rsidRPr="00CF326F" w:rsidRDefault="003317F8" w:rsidP="00747599">
      <w:pPr>
        <w:pStyle w:val="DipnotMetni"/>
        <w:rPr>
          <w:rFonts w:ascii="Arial" w:hAnsi="Arial" w:cs="Arial"/>
          <w:spacing w:val="-1"/>
        </w:rPr>
      </w:pPr>
      <w:r w:rsidRPr="00CF326F">
        <w:rPr>
          <w:rStyle w:val="DipnotBavurusu"/>
          <w:rFonts w:ascii="Arial" w:hAnsi="Arial" w:cs="Arial"/>
        </w:rPr>
        <w:footnoteRef/>
      </w:r>
      <w:r w:rsidRPr="00CF326F">
        <w:rPr>
          <w:rFonts w:ascii="Arial" w:hAnsi="Arial" w:cs="Arial"/>
        </w:rPr>
        <w:t xml:space="preserve"> Mercosur Avrupa Ticaret Forumu (UN/ECE) </w:t>
      </w:r>
    </w:p>
    <w:p w:rsidR="003317F8" w:rsidRPr="00CF326F" w:rsidRDefault="003317F8" w:rsidP="00747599">
      <w:pPr>
        <w:pStyle w:val="DipnotMetni"/>
        <w:rPr>
          <w:rFonts w:ascii="Arial" w:hAnsi="Arial"/>
          <w:color w:val="000000"/>
          <w:spacing w:val="-1"/>
          <w:sz w:val="24"/>
          <w:szCs w:val="24"/>
        </w:rPr>
      </w:pPr>
    </w:p>
    <w:p w:rsidR="003317F8" w:rsidRDefault="003317F8" w:rsidP="00747599">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E704CFE"/>
    <w:lvl w:ilvl="0">
      <w:numFmt w:val="decimal"/>
      <w:lvlText w:val="*"/>
      <w:lvlJc w:val="left"/>
    </w:lvl>
  </w:abstractNum>
  <w:abstractNum w:abstractNumId="1" w15:restartNumberingAfterBreak="0">
    <w:nsid w:val="01315D6C"/>
    <w:multiLevelType w:val="multilevel"/>
    <w:tmpl w:val="A14A29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9"/>
        </w:tabs>
        <w:ind w:left="729" w:hanging="72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1107"/>
        </w:tabs>
        <w:ind w:left="1107" w:hanging="108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485"/>
        </w:tabs>
        <w:ind w:left="1485" w:hanging="1440"/>
      </w:pPr>
      <w:rPr>
        <w:rFonts w:hint="default"/>
      </w:rPr>
    </w:lvl>
    <w:lvl w:ilvl="6">
      <w:start w:val="1"/>
      <w:numFmt w:val="decimal"/>
      <w:lvlText w:val="%1.%2.%3.%4.%5.%6.%7."/>
      <w:lvlJc w:val="left"/>
      <w:pPr>
        <w:tabs>
          <w:tab w:val="num" w:pos="1494"/>
        </w:tabs>
        <w:ind w:left="1494" w:hanging="1440"/>
      </w:pPr>
      <w:rPr>
        <w:rFonts w:hint="default"/>
      </w:rPr>
    </w:lvl>
    <w:lvl w:ilvl="7">
      <w:start w:val="1"/>
      <w:numFmt w:val="decimal"/>
      <w:lvlText w:val="%1.%2.%3.%4.%5.%6.%7.%8."/>
      <w:lvlJc w:val="left"/>
      <w:pPr>
        <w:tabs>
          <w:tab w:val="num" w:pos="1863"/>
        </w:tabs>
        <w:ind w:left="1863" w:hanging="1800"/>
      </w:pPr>
      <w:rPr>
        <w:rFonts w:hint="default"/>
      </w:rPr>
    </w:lvl>
    <w:lvl w:ilvl="8">
      <w:start w:val="1"/>
      <w:numFmt w:val="decimal"/>
      <w:lvlText w:val="%1.%2.%3.%4.%5.%6.%7.%8.%9."/>
      <w:lvlJc w:val="left"/>
      <w:pPr>
        <w:tabs>
          <w:tab w:val="num" w:pos="2232"/>
        </w:tabs>
        <w:ind w:left="2232" w:hanging="2160"/>
      </w:pPr>
      <w:rPr>
        <w:rFonts w:hint="default"/>
      </w:rPr>
    </w:lvl>
  </w:abstractNum>
  <w:abstractNum w:abstractNumId="2" w15:restartNumberingAfterBreak="0">
    <w:nsid w:val="12574AE3"/>
    <w:multiLevelType w:val="hybridMultilevel"/>
    <w:tmpl w:val="44BA1D6C"/>
    <w:lvl w:ilvl="0" w:tplc="C52A5EFC">
      <w:start w:val="1"/>
      <w:numFmt w:val="decimal"/>
      <w:lvlText w:val="%1."/>
      <w:lvlJc w:val="left"/>
      <w:pPr>
        <w:tabs>
          <w:tab w:val="num" w:pos="1660"/>
        </w:tabs>
        <w:ind w:left="1660" w:hanging="825"/>
      </w:pPr>
      <w:rPr>
        <w:rFonts w:hint="default"/>
      </w:rPr>
    </w:lvl>
    <w:lvl w:ilvl="1" w:tplc="041F0019" w:tentative="1">
      <w:start w:val="1"/>
      <w:numFmt w:val="lowerLetter"/>
      <w:lvlText w:val="%2."/>
      <w:lvlJc w:val="left"/>
      <w:pPr>
        <w:tabs>
          <w:tab w:val="num" w:pos="1915"/>
        </w:tabs>
        <w:ind w:left="1915" w:hanging="360"/>
      </w:pPr>
    </w:lvl>
    <w:lvl w:ilvl="2" w:tplc="041F001B" w:tentative="1">
      <w:start w:val="1"/>
      <w:numFmt w:val="lowerRoman"/>
      <w:lvlText w:val="%3."/>
      <w:lvlJc w:val="right"/>
      <w:pPr>
        <w:tabs>
          <w:tab w:val="num" w:pos="2635"/>
        </w:tabs>
        <w:ind w:left="2635" w:hanging="180"/>
      </w:pPr>
    </w:lvl>
    <w:lvl w:ilvl="3" w:tplc="041F000F" w:tentative="1">
      <w:start w:val="1"/>
      <w:numFmt w:val="decimal"/>
      <w:lvlText w:val="%4."/>
      <w:lvlJc w:val="left"/>
      <w:pPr>
        <w:tabs>
          <w:tab w:val="num" w:pos="3355"/>
        </w:tabs>
        <w:ind w:left="3355" w:hanging="360"/>
      </w:pPr>
    </w:lvl>
    <w:lvl w:ilvl="4" w:tplc="041F0019" w:tentative="1">
      <w:start w:val="1"/>
      <w:numFmt w:val="lowerLetter"/>
      <w:lvlText w:val="%5."/>
      <w:lvlJc w:val="left"/>
      <w:pPr>
        <w:tabs>
          <w:tab w:val="num" w:pos="4075"/>
        </w:tabs>
        <w:ind w:left="4075" w:hanging="360"/>
      </w:pPr>
    </w:lvl>
    <w:lvl w:ilvl="5" w:tplc="041F001B" w:tentative="1">
      <w:start w:val="1"/>
      <w:numFmt w:val="lowerRoman"/>
      <w:lvlText w:val="%6."/>
      <w:lvlJc w:val="right"/>
      <w:pPr>
        <w:tabs>
          <w:tab w:val="num" w:pos="4795"/>
        </w:tabs>
        <w:ind w:left="4795" w:hanging="180"/>
      </w:pPr>
    </w:lvl>
    <w:lvl w:ilvl="6" w:tplc="041F000F" w:tentative="1">
      <w:start w:val="1"/>
      <w:numFmt w:val="decimal"/>
      <w:lvlText w:val="%7."/>
      <w:lvlJc w:val="left"/>
      <w:pPr>
        <w:tabs>
          <w:tab w:val="num" w:pos="5515"/>
        </w:tabs>
        <w:ind w:left="5515" w:hanging="360"/>
      </w:pPr>
    </w:lvl>
    <w:lvl w:ilvl="7" w:tplc="041F0019" w:tentative="1">
      <w:start w:val="1"/>
      <w:numFmt w:val="lowerLetter"/>
      <w:lvlText w:val="%8."/>
      <w:lvlJc w:val="left"/>
      <w:pPr>
        <w:tabs>
          <w:tab w:val="num" w:pos="6235"/>
        </w:tabs>
        <w:ind w:left="6235" w:hanging="360"/>
      </w:pPr>
    </w:lvl>
    <w:lvl w:ilvl="8" w:tplc="041F001B" w:tentative="1">
      <w:start w:val="1"/>
      <w:numFmt w:val="lowerRoman"/>
      <w:lvlText w:val="%9."/>
      <w:lvlJc w:val="right"/>
      <w:pPr>
        <w:tabs>
          <w:tab w:val="num" w:pos="6955"/>
        </w:tabs>
        <w:ind w:left="6955" w:hanging="180"/>
      </w:pPr>
    </w:lvl>
  </w:abstractNum>
  <w:abstractNum w:abstractNumId="3" w15:restartNumberingAfterBreak="0">
    <w:nsid w:val="691B793F"/>
    <w:multiLevelType w:val="multilevel"/>
    <w:tmpl w:val="752489E6"/>
    <w:lvl w:ilvl="0">
      <w:start w:val="2"/>
      <w:numFmt w:val="decimal"/>
      <w:lvlText w:val="%1"/>
      <w:lvlJc w:val="left"/>
      <w:pPr>
        <w:tabs>
          <w:tab w:val="num" w:pos="1650"/>
        </w:tabs>
        <w:ind w:left="1650" w:hanging="1650"/>
      </w:pPr>
      <w:rPr>
        <w:rFonts w:hint="default"/>
      </w:rPr>
    </w:lvl>
    <w:lvl w:ilvl="1">
      <w:start w:val="3"/>
      <w:numFmt w:val="decimal"/>
      <w:lvlText w:val="%1.%2"/>
      <w:lvlJc w:val="left"/>
      <w:pPr>
        <w:tabs>
          <w:tab w:val="num" w:pos="1650"/>
        </w:tabs>
        <w:ind w:left="1650" w:hanging="1650"/>
      </w:pPr>
      <w:rPr>
        <w:rFonts w:hint="default"/>
      </w:rPr>
    </w:lvl>
    <w:lvl w:ilvl="2">
      <w:start w:val="2"/>
      <w:numFmt w:val="decimal"/>
      <w:lvlText w:val="%1.%2.%3"/>
      <w:lvlJc w:val="left"/>
      <w:pPr>
        <w:tabs>
          <w:tab w:val="num" w:pos="1650"/>
        </w:tabs>
        <w:ind w:left="1650" w:hanging="1650"/>
      </w:pPr>
      <w:rPr>
        <w:rFonts w:hint="default"/>
      </w:rPr>
    </w:lvl>
    <w:lvl w:ilvl="3">
      <w:start w:val="1"/>
      <w:numFmt w:val="decimal"/>
      <w:lvlText w:val="%1.%2.%3.%4"/>
      <w:lvlJc w:val="left"/>
      <w:pPr>
        <w:tabs>
          <w:tab w:val="num" w:pos="1650"/>
        </w:tabs>
        <w:ind w:left="1650" w:hanging="1650"/>
      </w:pPr>
      <w:rPr>
        <w:rFonts w:hint="default"/>
      </w:rPr>
    </w:lvl>
    <w:lvl w:ilvl="4">
      <w:start w:val="1"/>
      <w:numFmt w:val="decimal"/>
      <w:lvlText w:val="%1.%2.%3.%4.%5"/>
      <w:lvlJc w:val="left"/>
      <w:pPr>
        <w:tabs>
          <w:tab w:val="num" w:pos="1650"/>
        </w:tabs>
        <w:ind w:left="1650" w:hanging="1650"/>
      </w:pPr>
      <w:rPr>
        <w:rFonts w:hint="default"/>
      </w:rPr>
    </w:lvl>
    <w:lvl w:ilvl="5">
      <w:start w:val="1"/>
      <w:numFmt w:val="decimal"/>
      <w:lvlText w:val="%1.%2.%3.%4.%5.%6"/>
      <w:lvlJc w:val="left"/>
      <w:pPr>
        <w:tabs>
          <w:tab w:val="num" w:pos="1650"/>
        </w:tabs>
        <w:ind w:left="1650" w:hanging="1650"/>
      </w:pPr>
      <w:rPr>
        <w:rFonts w:hint="default"/>
      </w:rPr>
    </w:lvl>
    <w:lvl w:ilvl="6">
      <w:start w:val="1"/>
      <w:numFmt w:val="decimal"/>
      <w:lvlText w:val="%1.%2.%3.%4.%5.%6.%7"/>
      <w:lvlJc w:val="left"/>
      <w:pPr>
        <w:tabs>
          <w:tab w:val="num" w:pos="1650"/>
        </w:tabs>
        <w:ind w:left="1650" w:hanging="165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B4514E6"/>
    <w:multiLevelType w:val="multilevel"/>
    <w:tmpl w:val="D17407CC"/>
    <w:lvl w:ilvl="0">
      <w:start w:val="4"/>
      <w:numFmt w:val="decimal"/>
      <w:lvlText w:val="%1"/>
      <w:lvlJc w:val="left"/>
      <w:pPr>
        <w:tabs>
          <w:tab w:val="num" w:pos="870"/>
        </w:tabs>
        <w:ind w:left="870" w:hanging="870"/>
      </w:pPr>
      <w:rPr>
        <w:rFonts w:hint="default"/>
      </w:rPr>
    </w:lvl>
    <w:lvl w:ilvl="1">
      <w:start w:val="3"/>
      <w:numFmt w:val="decimal"/>
      <w:lvlText w:val="%1.%2"/>
      <w:lvlJc w:val="left"/>
      <w:pPr>
        <w:tabs>
          <w:tab w:val="num" w:pos="880"/>
        </w:tabs>
        <w:ind w:left="880" w:hanging="870"/>
      </w:pPr>
      <w:rPr>
        <w:rFonts w:hint="default"/>
      </w:rPr>
    </w:lvl>
    <w:lvl w:ilvl="2">
      <w:start w:val="1"/>
      <w:numFmt w:val="decimal"/>
      <w:lvlText w:val="%1.%2.%3"/>
      <w:lvlJc w:val="left"/>
      <w:pPr>
        <w:tabs>
          <w:tab w:val="num" w:pos="890"/>
        </w:tabs>
        <w:ind w:left="890" w:hanging="87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1880"/>
        </w:tabs>
        <w:ind w:left="1880" w:hanging="1800"/>
      </w:pPr>
      <w:rPr>
        <w:rFonts w:hint="default"/>
      </w:rPr>
    </w:lvl>
  </w:abstractNum>
  <w:abstractNum w:abstractNumId="5" w15:restartNumberingAfterBreak="0">
    <w:nsid w:val="713672A9"/>
    <w:multiLevelType w:val="multilevel"/>
    <w:tmpl w:val="062649E4"/>
    <w:lvl w:ilvl="0">
      <w:start w:val="2"/>
      <w:numFmt w:val="decimal"/>
      <w:lvlText w:val="%1"/>
      <w:lvlJc w:val="left"/>
      <w:pPr>
        <w:tabs>
          <w:tab w:val="num" w:pos="915"/>
        </w:tabs>
        <w:ind w:left="915" w:hanging="915"/>
      </w:pPr>
      <w:rPr>
        <w:rFonts w:hint="default"/>
      </w:rPr>
    </w:lvl>
    <w:lvl w:ilvl="1">
      <w:start w:val="2"/>
      <w:numFmt w:val="decimal"/>
      <w:lvlText w:val="%1.%2"/>
      <w:lvlJc w:val="left"/>
      <w:pPr>
        <w:tabs>
          <w:tab w:val="num" w:pos="1741"/>
        </w:tabs>
        <w:ind w:left="1741" w:hanging="915"/>
      </w:pPr>
      <w:rPr>
        <w:rFonts w:hint="default"/>
      </w:rPr>
    </w:lvl>
    <w:lvl w:ilvl="2">
      <w:start w:val="1"/>
      <w:numFmt w:val="decimal"/>
      <w:lvlText w:val="%1.%2.%3"/>
      <w:lvlJc w:val="left"/>
      <w:pPr>
        <w:tabs>
          <w:tab w:val="num" w:pos="2567"/>
        </w:tabs>
        <w:ind w:left="2567" w:hanging="915"/>
      </w:pPr>
      <w:rPr>
        <w:rFonts w:hint="default"/>
      </w:rPr>
    </w:lvl>
    <w:lvl w:ilvl="3">
      <w:start w:val="1"/>
      <w:numFmt w:val="decimal"/>
      <w:lvlText w:val="%1.%2.%3.%4"/>
      <w:lvlJc w:val="left"/>
      <w:pPr>
        <w:tabs>
          <w:tab w:val="num" w:pos="3558"/>
        </w:tabs>
        <w:ind w:left="3558" w:hanging="1080"/>
      </w:pPr>
      <w:rPr>
        <w:rFonts w:hint="default"/>
      </w:rPr>
    </w:lvl>
    <w:lvl w:ilvl="4">
      <w:start w:val="1"/>
      <w:numFmt w:val="decimal"/>
      <w:lvlText w:val="%1.%2.%3.%4.%5"/>
      <w:lvlJc w:val="left"/>
      <w:pPr>
        <w:tabs>
          <w:tab w:val="num" w:pos="4384"/>
        </w:tabs>
        <w:ind w:left="4384" w:hanging="1080"/>
      </w:pPr>
      <w:rPr>
        <w:rFonts w:hint="default"/>
      </w:rPr>
    </w:lvl>
    <w:lvl w:ilvl="5">
      <w:start w:val="1"/>
      <w:numFmt w:val="decimal"/>
      <w:lvlText w:val="%1.%2.%3.%4.%5.%6"/>
      <w:lvlJc w:val="left"/>
      <w:pPr>
        <w:tabs>
          <w:tab w:val="num" w:pos="5570"/>
        </w:tabs>
        <w:ind w:left="5570" w:hanging="1440"/>
      </w:pPr>
      <w:rPr>
        <w:rFonts w:hint="default"/>
      </w:rPr>
    </w:lvl>
    <w:lvl w:ilvl="6">
      <w:start w:val="1"/>
      <w:numFmt w:val="decimal"/>
      <w:lvlText w:val="%1.%2.%3.%4.%5.%6.%7"/>
      <w:lvlJc w:val="left"/>
      <w:pPr>
        <w:tabs>
          <w:tab w:val="num" w:pos="6396"/>
        </w:tabs>
        <w:ind w:left="6396" w:hanging="1440"/>
      </w:pPr>
      <w:rPr>
        <w:rFonts w:hint="default"/>
      </w:rPr>
    </w:lvl>
    <w:lvl w:ilvl="7">
      <w:start w:val="1"/>
      <w:numFmt w:val="decimal"/>
      <w:lvlText w:val="%1.%2.%3.%4.%5.%6.%7.%8"/>
      <w:lvlJc w:val="left"/>
      <w:pPr>
        <w:tabs>
          <w:tab w:val="num" w:pos="7582"/>
        </w:tabs>
        <w:ind w:left="7582" w:hanging="1800"/>
      </w:pPr>
      <w:rPr>
        <w:rFonts w:hint="default"/>
      </w:rPr>
    </w:lvl>
    <w:lvl w:ilvl="8">
      <w:start w:val="1"/>
      <w:numFmt w:val="decimal"/>
      <w:lvlText w:val="%1.%2.%3.%4.%5.%6.%7.%8.%9"/>
      <w:lvlJc w:val="left"/>
      <w:pPr>
        <w:tabs>
          <w:tab w:val="num" w:pos="8408"/>
        </w:tabs>
        <w:ind w:left="8408" w:hanging="1800"/>
      </w:pPr>
      <w:rPr>
        <w:rFonts w:hint="default"/>
      </w:rPr>
    </w:lvl>
  </w:abstractNum>
  <w:num w:numId="1">
    <w:abstractNumId w:val="0"/>
    <w:lvlOverride w:ilvl="0">
      <w:lvl w:ilvl="0">
        <w:start w:val="65535"/>
        <w:numFmt w:val="bullet"/>
        <w:lvlText w:val="-"/>
        <w:legacy w:legacy="1" w:legacySpace="0" w:legacyIndent="850"/>
        <w:lvlJc w:val="left"/>
        <w:rPr>
          <w:rFonts w:ascii="Times New Roman" w:hAnsi="Times New Roman" w:hint="default"/>
        </w:rPr>
      </w:lvl>
    </w:lvlOverride>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D"/>
    <w:rsid w:val="00047ADF"/>
    <w:rsid w:val="000511B3"/>
    <w:rsid w:val="000930D7"/>
    <w:rsid w:val="000E6B83"/>
    <w:rsid w:val="00170FB5"/>
    <w:rsid w:val="00183C8C"/>
    <w:rsid w:val="001F7324"/>
    <w:rsid w:val="00204227"/>
    <w:rsid w:val="00215143"/>
    <w:rsid w:val="00280DBF"/>
    <w:rsid w:val="002D278F"/>
    <w:rsid w:val="002D2F9F"/>
    <w:rsid w:val="002F54E5"/>
    <w:rsid w:val="003317F8"/>
    <w:rsid w:val="00352EC6"/>
    <w:rsid w:val="00366BE8"/>
    <w:rsid w:val="003F6751"/>
    <w:rsid w:val="00401287"/>
    <w:rsid w:val="00403E78"/>
    <w:rsid w:val="0043102F"/>
    <w:rsid w:val="004975E9"/>
    <w:rsid w:val="004C1F55"/>
    <w:rsid w:val="004D74AC"/>
    <w:rsid w:val="004E760F"/>
    <w:rsid w:val="0050577A"/>
    <w:rsid w:val="00511A9D"/>
    <w:rsid w:val="00526C05"/>
    <w:rsid w:val="00526FB4"/>
    <w:rsid w:val="0055430B"/>
    <w:rsid w:val="005630CC"/>
    <w:rsid w:val="00565272"/>
    <w:rsid w:val="005B5724"/>
    <w:rsid w:val="006A5764"/>
    <w:rsid w:val="006E087F"/>
    <w:rsid w:val="006F6D24"/>
    <w:rsid w:val="00747599"/>
    <w:rsid w:val="00764A63"/>
    <w:rsid w:val="00774B28"/>
    <w:rsid w:val="007A5D1E"/>
    <w:rsid w:val="007F1C17"/>
    <w:rsid w:val="008231D7"/>
    <w:rsid w:val="00840202"/>
    <w:rsid w:val="008818FE"/>
    <w:rsid w:val="008E0FAF"/>
    <w:rsid w:val="009D082D"/>
    <w:rsid w:val="00A569C9"/>
    <w:rsid w:val="00A63544"/>
    <w:rsid w:val="00A85A91"/>
    <w:rsid w:val="00AD735B"/>
    <w:rsid w:val="00B018C9"/>
    <w:rsid w:val="00B11C20"/>
    <w:rsid w:val="00B305D3"/>
    <w:rsid w:val="00B911E0"/>
    <w:rsid w:val="00BA612C"/>
    <w:rsid w:val="00C1777F"/>
    <w:rsid w:val="00C43A1F"/>
    <w:rsid w:val="00C56F84"/>
    <w:rsid w:val="00CD4E0D"/>
    <w:rsid w:val="00CD6786"/>
    <w:rsid w:val="00CF326F"/>
    <w:rsid w:val="00D02A85"/>
    <w:rsid w:val="00D218AC"/>
    <w:rsid w:val="00D43826"/>
    <w:rsid w:val="00D46286"/>
    <w:rsid w:val="00D64CC8"/>
    <w:rsid w:val="00DA1E3D"/>
    <w:rsid w:val="00DB7C5B"/>
    <w:rsid w:val="00E112ED"/>
    <w:rsid w:val="00E457D5"/>
    <w:rsid w:val="00E62CB7"/>
    <w:rsid w:val="00EA2EDA"/>
    <w:rsid w:val="00EB4911"/>
    <w:rsid w:val="00F37053"/>
    <w:rsid w:val="00F430CB"/>
    <w:rsid w:val="00F50327"/>
    <w:rsid w:val="00FD4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F0B0151-9EDD-488D-B822-A20F6FD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bidi="hi-IN"/>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B305D3"/>
  </w:style>
  <w:style w:type="character" w:styleId="DipnotBavurusu">
    <w:name w:val="footnote reference"/>
    <w:basedOn w:val="VarsaylanParagrafYazTipi"/>
    <w:semiHidden/>
    <w:rsid w:val="00B305D3"/>
    <w:rPr>
      <w:vertAlign w:val="superscript"/>
    </w:rPr>
  </w:style>
  <w:style w:type="character" w:styleId="Kpr">
    <w:name w:val="Hyperlink"/>
    <w:basedOn w:val="VarsaylanParagrafYazTipi"/>
    <w:rsid w:val="00352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opa.eu.int/comm/enterprise/standards_policy/index.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3326</Words>
  <Characters>18960</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COMMUNICATION FROM THE COMMISSION TO THE EUROPEAN PARLIAMENT AND THE COUNCIL</vt:lpstr>
      <vt:lpstr>COMMUNICATION FROM THE COMMISSION TO THE EUROPEAN PARLIAMENT AND THE COUNCIL</vt:lpstr>
    </vt:vector>
  </TitlesOfParts>
  <Company>trm</Company>
  <LinksUpToDate>false</LinksUpToDate>
  <CharactersWithSpaces>22242</CharactersWithSpaces>
  <SharedDoc>false</SharedDoc>
  <HLinks>
    <vt:vector size="6" baseType="variant">
      <vt:variant>
        <vt:i4>2752533</vt:i4>
      </vt:variant>
      <vt:variant>
        <vt:i4>0</vt:i4>
      </vt:variant>
      <vt:variant>
        <vt:i4>0</vt:i4>
      </vt:variant>
      <vt:variant>
        <vt:i4>5</vt:i4>
      </vt:variant>
      <vt:variant>
        <vt:lpwstr>http://europa.eu.int/comm/enterprise/standards_policy/index.htm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FROM THE COMMISSION TO THE EUROPEAN PARLIAMENT AND THE COUNCIL</dc:title>
  <dc:subject/>
  <dc:creator>3550</dc:creator>
  <cp:keywords/>
  <dc:description/>
  <cp:lastModifiedBy>Ömer Faruk EMEKSİZ</cp:lastModifiedBy>
  <cp:revision>2</cp:revision>
  <cp:lastPrinted>1601-01-01T00:00:00Z</cp:lastPrinted>
  <dcterms:created xsi:type="dcterms:W3CDTF">2017-01-04T12:23:00Z</dcterms:created>
  <dcterms:modified xsi:type="dcterms:W3CDTF">2017-01-04T12:23:00Z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1695603876</vt:i4>
  </property>
  <property fmtid="{D5CDD505-2E9C-101B-9397-08002B2CF9AE}" pid="3" name="_EmailSubject">
    <vt:lpwstr>son</vt:lpwstr>
  </property>
  <property fmtid="{D5CDD505-2E9C-101B-9397-08002B2CF9AE}" pid="4" name="_AuthorEmail">
    <vt:lpwstr>basak.bulgun@sayistay.gov.tr</vt:lpwstr>
  </property>
  <property fmtid="{D5CDD505-2E9C-101B-9397-08002B2CF9AE}" pid="5" name="_AuthorEmailDisplayName">
    <vt:lpwstr>Başak BULGUN</vt:lpwstr>
  </property>
  <property fmtid="{D5CDD505-2E9C-101B-9397-08002B2CF9AE}" pid="6" name="_ReviewingToolsShownOnce">
    <vt:lpwstr/>
  </property>
</Properties>
</file>